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DB195A" w:rsidR="008E1127" w:rsidP="008E1127" w:rsidRDefault="008E1127" w14:paraId="19DBE00A" wp14:textId="0F8862AC">
      <w:pPr>
        <w:pStyle w:val="Otsikko2"/>
      </w:pPr>
      <w:bookmarkStart w:name="_Toc8288612" w:id="0"/>
      <w:r w:rsidR="17ABFB0A">
        <w:rPr/>
        <w:t>7</w:t>
      </w:r>
      <w:r w:rsidR="17ABFB0A">
        <w:rPr/>
        <w:t>.</w:t>
      </w:r>
      <w:r w:rsidR="17ABFB0A">
        <w:rPr/>
        <w:t>12</w:t>
      </w:r>
      <w:r w:rsidR="17ABFB0A">
        <w:rPr/>
        <w:t xml:space="preserve"> </w:t>
      </w:r>
      <w:r w:rsidR="17ABFB0A">
        <w:rPr/>
        <w:t xml:space="preserve">Pohjoisten alueiden </w:t>
      </w:r>
      <w:proofErr w:type="spellStart"/>
      <w:r w:rsidR="17ABFB0A">
        <w:rPr/>
        <w:t>kv</w:t>
      </w:r>
      <w:proofErr w:type="spellEnd"/>
      <w:r w:rsidR="17ABFB0A">
        <w:rPr/>
        <w:t>-yhteistyö</w:t>
      </w:r>
      <w:bookmarkEnd w:id="0"/>
    </w:p>
    <w:p xmlns:wp14="http://schemas.microsoft.com/office/word/2010/wordml" w:rsidR="008E1127" w:rsidP="008E1127" w:rsidRDefault="008E1127" w14:paraId="672A6659" wp14:textId="77777777">
      <w:pPr>
        <w:spacing w:after="0"/>
        <w:rPr>
          <w:b/>
          <w:bCs/>
        </w:rPr>
      </w:pPr>
    </w:p>
    <w:p xmlns:wp14="http://schemas.microsoft.com/office/word/2010/wordml" w:rsidR="008E1127" w:rsidP="008E1127" w:rsidRDefault="008E1127" w14:paraId="73B4411E" wp14:textId="77777777">
      <w:pPr>
        <w:spacing w:after="0"/>
        <w:rPr>
          <w:b/>
          <w:bCs/>
        </w:rPr>
      </w:pPr>
      <w:bookmarkStart w:name="_GoBack" w:id="1"/>
      <w:bookmarkEnd w:id="1"/>
      <w:r>
        <w:rPr>
          <w:b/>
          <w:bCs/>
        </w:rPr>
        <w:t>ALUEELLINEN YHTEISTYÖ</w:t>
      </w:r>
    </w:p>
    <w:p xmlns:wp14="http://schemas.microsoft.com/office/word/2010/wordml" w:rsidR="008E1127" w:rsidP="008E1127" w:rsidRDefault="008E1127" w14:paraId="0A37501D" wp14:textId="77777777">
      <w:pPr>
        <w:spacing w:after="0"/>
        <w:rPr>
          <w:b/>
          <w:bCs/>
        </w:rPr>
      </w:pPr>
    </w:p>
    <w:p xmlns:wp14="http://schemas.microsoft.com/office/word/2010/wordml" w:rsidRPr="005773C8" w:rsidR="008E1127" w:rsidP="008E1127" w:rsidRDefault="008E1127" w14:paraId="7FC3DD50" wp14:textId="77777777">
      <w:pPr>
        <w:spacing w:after="0"/>
        <w:rPr>
          <w:b/>
          <w:bCs/>
        </w:rPr>
      </w:pPr>
      <w:r w:rsidRPr="7735C3FC">
        <w:rPr>
          <w:b/>
          <w:bCs/>
        </w:rPr>
        <w:t>1. Tavoite</w:t>
      </w:r>
    </w:p>
    <w:p xmlns:wp14="http://schemas.microsoft.com/office/word/2010/wordml" w:rsidR="008E1127" w:rsidP="51184D7A" w:rsidRDefault="008E1127" w14:paraId="5DAB6C7B" wp14:textId="77777777" wp14:noSpellErr="1">
      <w:pPr>
        <w:spacing w:after="0"/>
        <w:rPr>
          <w:rStyle w:val="normaltextrun"/>
          <w:rFonts w:ascii="Calibri" w:hAnsi="Calibri" w:cs="Calibri"/>
          <w:color w:val="212529"/>
          <w:sz w:val="24"/>
          <w:szCs w:val="24"/>
        </w:rPr>
      </w:pPr>
    </w:p>
    <w:p xmlns:wp14="http://schemas.microsoft.com/office/word/2010/wordml" w:rsidRPr="000778C1" w:rsidR="008E1127" w:rsidP="51184D7A" w:rsidRDefault="008E1127" w14:paraId="1AF64254" wp14:noSpellErr="1" wp14:textId="3D4558EE">
      <w:pPr>
        <w:pStyle w:val="Normaali"/>
        <w:spacing w:after="0"/>
        <w:ind w:left="0"/>
        <w:rPr>
          <w:rStyle w:val="eop"/>
          <w:rFonts w:ascii="Calibri" w:hAnsi="Calibri" w:cs="Calibri"/>
          <w:color w:val="000000" w:themeColor="text1" w:themeTint="FF" w:themeShade="FF"/>
          <w:sz w:val="24"/>
          <w:szCs w:val="24"/>
        </w:rPr>
      </w:pPr>
      <w:r w:rsidRPr="51184D7A" w:rsidR="51184D7A">
        <w:rPr>
          <w:rFonts w:ascii="Calibri" w:hAnsi="Calibri" w:eastAsia="Calibri" w:cs="Calibri"/>
          <w:b w:val="1"/>
          <w:bCs w:val="1"/>
          <w:noProof w:val="0"/>
          <w:sz w:val="22"/>
          <w:szCs w:val="22"/>
          <w:lang w:val="fi-FI"/>
        </w:rPr>
        <w:t>Panostetaan arktisen ja Itämeren alueen ilmasto-, luonto-, ja ympäristötyöhön.</w:t>
      </w:r>
      <w:r w:rsidRPr="51184D7A" w:rsidR="51184D7A">
        <w:rPr>
          <w:rFonts w:ascii="Calibri" w:hAnsi="Calibri" w:eastAsia="Calibri" w:cs="Calibri"/>
          <w:noProof w:val="0"/>
          <w:sz w:val="22"/>
          <w:szCs w:val="22"/>
          <w:lang w:val="fi-FI"/>
        </w:rPr>
        <w:t xml:space="preserve"> Jatketaan Suomen arktisen politiikan strategian (2021) ja Suomen meripolitiikan (2019) tavoitteiden ja toimenpiteiden toteuttamista huomioiden Venäjän hyökkäyssodan aiheuttamat muutokset ja uudet kansainväliset sopimukset. Laaditaan suunnitelma, jonka avulla arktisen, Barentsin ja Itämeren alueen ympäristöyhteistyötä ja prosessien ja instrumenttien kehittämistä voidaan jatkaa tehokkaasti ja vaikuttavasti ilman Venäjää.</w:t>
      </w:r>
      <w:r w:rsidRPr="51184D7A">
        <w:rPr>
          <w:rStyle w:val="normaltextrun"/>
          <w:rFonts w:ascii="Calibri" w:hAnsi="Calibri" w:cs="Calibri"/>
          <w:color w:val="212529"/>
          <w:sz w:val="22"/>
          <w:szCs w:val="22"/>
          <w:shd w:val="clear" w:color="auto" w:fill="FFFFFF"/>
        </w:rPr>
        <w:t xml:space="preserve"> </w:t>
      </w:r>
      <w:r w:rsidRPr="51184D7A">
        <w:rPr>
          <w:rStyle w:val="normaltextrun"/>
          <w:rFonts w:ascii="Calibri" w:hAnsi="Calibri" w:cs="Calibri"/>
          <w:color w:val="212529"/>
          <w:sz w:val="22"/>
          <w:szCs w:val="22"/>
          <w:shd w:val="clear" w:color="auto" w:fill="FFFFFF"/>
        </w:rPr>
        <w:t xml:space="preserve">Y</w:t>
      </w:r>
      <w:r w:rsidRPr="51184D7A">
        <w:rPr>
          <w:rStyle w:val="normaltextrun"/>
          <w:rFonts w:ascii="Calibri" w:hAnsi="Calibri" w:cs="Calibri"/>
          <w:color w:val="212529"/>
          <w:sz w:val="22"/>
          <w:szCs w:val="22"/>
          <w:shd w:val="clear" w:color="auto" w:fill="FFFFFF"/>
        </w:rPr>
        <w:t xml:space="preserve">mpäristöön ja ilmastoon, kestävään kehitykseen sekä alkuperäiskansojen asemaan liittyv</w:t>
      </w:r>
      <w:r w:rsidRPr="51184D7A">
        <w:rPr>
          <w:rStyle w:val="normaltextrun"/>
          <w:rFonts w:ascii="Calibri" w:hAnsi="Calibri" w:cs="Calibri"/>
          <w:color w:val="212529"/>
          <w:sz w:val="22"/>
          <w:szCs w:val="22"/>
          <w:shd w:val="clear" w:color="auto" w:fill="FFFFFF"/>
        </w:rPr>
        <w:t xml:space="preserve">ät</w:t>
      </w:r>
      <w:r w:rsidRPr="51184D7A">
        <w:rPr>
          <w:rStyle w:val="normaltextrun"/>
          <w:rFonts w:ascii="Calibri" w:hAnsi="Calibri" w:cs="Calibri"/>
          <w:color w:val="212529"/>
          <w:sz w:val="22"/>
          <w:szCs w:val="22"/>
          <w:shd w:val="clear" w:color="auto" w:fill="FFFFFF"/>
        </w:rPr>
        <w:t xml:space="preserve"> kysymyks</w:t>
      </w:r>
      <w:r w:rsidRPr="51184D7A">
        <w:rPr>
          <w:rStyle w:val="normaltextrun"/>
          <w:rFonts w:ascii="Calibri" w:hAnsi="Calibri" w:cs="Calibri"/>
          <w:color w:val="212529"/>
          <w:sz w:val="22"/>
          <w:szCs w:val="22"/>
          <w:shd w:val="clear" w:color="auto" w:fill="FFFFFF"/>
        </w:rPr>
        <w:t xml:space="preserve">et</w:t>
      </w:r>
      <w:r w:rsidRPr="51184D7A">
        <w:rPr>
          <w:rStyle w:val="normaltextrun"/>
          <w:rFonts w:ascii="Calibri" w:hAnsi="Calibri" w:cs="Calibri"/>
          <w:color w:val="212529"/>
          <w:sz w:val="22"/>
          <w:szCs w:val="22"/>
          <w:shd w:val="clear" w:color="auto" w:fill="FFFFFF"/>
        </w:rPr>
        <w:t xml:space="preserve"> </w:t>
      </w:r>
      <w:r w:rsidRPr="51184D7A">
        <w:rPr>
          <w:rStyle w:val="normaltextrun"/>
          <w:rFonts w:ascii="Calibri" w:hAnsi="Calibri" w:cs="Calibri"/>
          <w:color w:val="212529"/>
          <w:sz w:val="22"/>
          <w:szCs w:val="22"/>
          <w:shd w:val="clear" w:color="auto" w:fill="FFFFFF"/>
        </w:rPr>
        <w:t xml:space="preserve">ovat edelleen tärkeitä</w:t>
      </w:r>
      <w:r w:rsidRPr="51184D7A">
        <w:rPr>
          <w:rStyle w:val="normaltextrun"/>
          <w:rFonts w:ascii="Calibri" w:hAnsi="Calibri" w:cs="Calibri"/>
          <w:color w:val="212529"/>
          <w:sz w:val="22"/>
          <w:szCs w:val="22"/>
          <w:shd w:val="clear" w:color="auto" w:fill="FFFFFF"/>
        </w:rPr>
        <w:t xml:space="preserve"> Suomen alueellisen vaikuttamisen ja toiminnan </w:t>
      </w:r>
      <w:r w:rsidRPr="51184D7A">
        <w:rPr>
          <w:rStyle w:val="normaltextrun"/>
          <w:rFonts w:ascii="Calibri" w:hAnsi="Calibri" w:cs="Calibri"/>
          <w:color w:val="212529"/>
          <w:sz w:val="22"/>
          <w:szCs w:val="22"/>
          <w:shd w:val="clear" w:color="auto" w:fill="FFFFFF"/>
        </w:rPr>
        <w:t xml:space="preserve">kannalta</w:t>
      </w:r>
      <w:r w:rsidRPr="51184D7A">
        <w:rPr>
          <w:rStyle w:val="normaltextrun"/>
          <w:rFonts w:ascii="Calibri" w:hAnsi="Calibri" w:cs="Calibri"/>
          <w:color w:val="212529"/>
          <w:sz w:val="22"/>
          <w:szCs w:val="22"/>
          <w:shd w:val="clear" w:color="auto" w:fill="FFFFFF"/>
        </w:rPr>
        <w:t xml:space="preserve">. </w:t>
      </w:r>
      <w:r>
        <w:rPr>
          <w:rStyle w:val="normaltextrun"/>
          <w:rFonts w:ascii="Calibri" w:hAnsi="Calibri" w:cs="Calibri"/>
          <w:color w:val="212529"/>
          <w:sz w:val="24"/>
          <w:szCs w:val="24"/>
          <w:shd w:val="clear" w:color="auto" w:fill="FFFFFF"/>
        </w:rPr>
        <w:t xml:space="preserve"> </w:t>
      </w:r>
    </w:p>
    <w:p xmlns:wp14="http://schemas.microsoft.com/office/word/2010/wordml" w:rsidR="008E1127" w:rsidP="008E1127" w:rsidRDefault="008E1127" w14:paraId="02EB378F" wp14:textId="77777777">
      <w:pPr>
        <w:spacing w:after="0"/>
        <w:rPr>
          <w:b/>
          <w:bCs/>
        </w:rPr>
      </w:pPr>
    </w:p>
    <w:p xmlns:wp14="http://schemas.microsoft.com/office/word/2010/wordml" w:rsidRPr="001E55BC" w:rsidR="008E1127" w:rsidP="008E1127" w:rsidRDefault="008E1127" w14:paraId="5A549A8A" wp14:textId="77777777">
      <w:pPr>
        <w:spacing w:after="0"/>
        <w:rPr>
          <w:b/>
          <w:bCs/>
        </w:rPr>
      </w:pPr>
      <w:r w:rsidRPr="7735C3FC">
        <w:rPr>
          <w:b/>
          <w:bCs/>
        </w:rPr>
        <w:t>2. Tausta</w:t>
      </w:r>
      <w:r>
        <w:rPr>
          <w:b/>
          <w:bCs/>
        </w:rPr>
        <w:t xml:space="preserve"> ja kytkentä muihin politiikkatoimiin (</w:t>
      </w:r>
      <w:proofErr w:type="spellStart"/>
      <w:r>
        <w:rPr>
          <w:b/>
          <w:bCs/>
        </w:rPr>
        <w:t>YM:ssä</w:t>
      </w:r>
      <w:proofErr w:type="spellEnd"/>
      <w:r>
        <w:rPr>
          <w:b/>
          <w:bCs/>
        </w:rPr>
        <w:t xml:space="preserve"> tai valtioneuvostossa)</w:t>
      </w:r>
      <w:r>
        <w:rPr>
          <w:b/>
          <w:bCs/>
        </w:rPr>
        <w:br/>
      </w:r>
    </w:p>
    <w:p xmlns:wp14="http://schemas.microsoft.com/office/word/2010/wordml" w:rsidRPr="00670322" w:rsidR="008E1127" w:rsidP="008E1127" w:rsidRDefault="008E1127" w14:paraId="730E1FB2" wp14:textId="77777777">
      <w:pPr>
        <w:pStyle w:val="Luettelokappale"/>
        <w:numPr>
          <w:ilvl w:val="0"/>
          <w:numId w:val="1"/>
        </w:numPr>
        <w:rPr>
          <w:i/>
          <w:iCs/>
        </w:rPr>
      </w:pPr>
      <w:r>
        <w:t>Ilmaston muuta maapalloa nopeampi lämpeneminen pohjoisilla alueilla luo paineita sekä alueen herkälle ja monin paikoin uhanalaiselle luonnolle, että alueen asukkaiden, mukaan lukien alkuperäiskansat, elinkeinoille ja kulttuurille. Vihreä siirtymä lisää paineita alueen luonnonvarojen, kuten kaivannaisten ja metsävarojen, hyödyntämiselle, ja luo tarpeen yhä parempaan ekologisen ja sosiaalisen kestävyyden huomiointiin alueella tehtävässä toiminnassa. Samaan aikaan sekä kansainväliset että EU:n asettamat luonnon monimuotoisuutta koskevat tavoitteet velvoittavat Suomea suojelemaan alueen ekosysteemejä aiempaa tiukemmin. Näiden haasteiden ratkaisemiseksi alueelliselle yhteistyölle on pohjoisilla alueilla merkittävä tarve.</w:t>
      </w:r>
    </w:p>
    <w:p xmlns:wp14="http://schemas.microsoft.com/office/word/2010/wordml" w:rsidRPr="00670322" w:rsidR="008E1127" w:rsidP="008E1127" w:rsidRDefault="008E1127" w14:paraId="73984EFE" wp14:textId="77777777">
      <w:pPr>
        <w:pStyle w:val="Luettelokappale"/>
        <w:numPr>
          <w:ilvl w:val="0"/>
          <w:numId w:val="1"/>
        </w:numPr>
        <w:rPr>
          <w:i/>
          <w:iCs/>
        </w:rPr>
      </w:pPr>
      <w:r w:rsidRPr="001A5B58">
        <w:t>Venäjän hyökättyä Ukrainaan alueellisten yhteistyöjärjes</w:t>
      </w:r>
      <w:r w:rsidRPr="00670322">
        <w:t xml:space="preserve">töjen ja –sopimusten (Arktinen neuvosto, Barentsin euroarktinen neuvosto, HELCOM) virallinen työ on tauolla. Sama koskee myös Pohjoista ympäristökumppanuutta (NDEP). Useimmat alueellisen yhteistyön järjestöistä ovat kuitenkin jatkaneet yhteistyötä epävirallisessa formaatissa ilman Venäjää. </w:t>
      </w:r>
    </w:p>
    <w:p xmlns:wp14="http://schemas.microsoft.com/office/word/2010/wordml" w:rsidRPr="00670322" w:rsidR="008E1127" w:rsidP="008E1127" w:rsidRDefault="008E1127" w14:paraId="74A90A8F" wp14:textId="77777777">
      <w:pPr>
        <w:pStyle w:val="Luettelokappale"/>
        <w:numPr>
          <w:ilvl w:val="0"/>
          <w:numId w:val="1"/>
        </w:numPr>
        <w:rPr>
          <w:i/>
          <w:iCs/>
        </w:rPr>
      </w:pPr>
      <w:r w:rsidRPr="001A5B58">
        <w:t xml:space="preserve">Periaatteena alueellisen yhteistyön tekemisessä uudessa geopoliittisessa tilanteessa on ollut </w:t>
      </w:r>
      <w:r w:rsidRPr="00670322">
        <w:t>yhteistyörakenteiden säilyttäminen</w:t>
      </w:r>
      <w:r w:rsidRPr="001A5B58">
        <w:t xml:space="preserve">. Tämä ei ole kuitenkaan ongelmatonta, koska esimerkiksi </w:t>
      </w:r>
      <w:proofErr w:type="spellStart"/>
      <w:r w:rsidRPr="00670322">
        <w:t>HELCOMissa</w:t>
      </w:r>
      <w:proofErr w:type="spellEnd"/>
      <w:r w:rsidRPr="00670322">
        <w:t xml:space="preserve"> Venäjä on kieltäytynyt vahvistamasta järjestön budjettia, mikä on aiheuttanut ongelmia toiminnan rahoittamiselle. Myös muissa alueellisen yhteistyön järjestöissä on ollut haasteita</w:t>
      </w:r>
      <w:r w:rsidRPr="001A5B58">
        <w:t xml:space="preserve"> muun muassa sellaisten rahastojen suhteen, joissa Venäjä on mukana osapuolena. </w:t>
      </w:r>
      <w:r w:rsidRPr="34A86C0C">
        <w:t>Erityisesti ongelmia on liittynyt yhteistyön tekemiseen tilanteessa, joissa Venäjä on alueellisen yhteistyöjärjestön puheenjohtaja</w:t>
      </w:r>
      <w:r w:rsidRPr="001A5B58">
        <w:t>maana (Arktinen neuvosto)</w:t>
      </w:r>
      <w:r w:rsidRPr="34A86C0C">
        <w:t>. Suomi</w:t>
      </w:r>
      <w:r w:rsidRPr="001A5B58">
        <w:t xml:space="preserve"> on hoitanut oman Barents-puheenjohtajuutensa epävirallisessa ns. ”</w:t>
      </w:r>
      <w:proofErr w:type="spellStart"/>
      <w:r w:rsidRPr="001A5B58">
        <w:t>Friends</w:t>
      </w:r>
      <w:proofErr w:type="spellEnd"/>
      <w:r w:rsidRPr="001A5B58">
        <w:t xml:space="preserve"> of </w:t>
      </w:r>
      <w:proofErr w:type="spellStart"/>
      <w:r w:rsidRPr="001A5B58">
        <w:t>the</w:t>
      </w:r>
      <w:proofErr w:type="spellEnd"/>
      <w:r w:rsidRPr="001A5B58">
        <w:t xml:space="preserve"> </w:t>
      </w:r>
      <w:proofErr w:type="spellStart"/>
      <w:r w:rsidRPr="001A5B58">
        <w:t>Presidency</w:t>
      </w:r>
      <w:proofErr w:type="spellEnd"/>
      <w:r w:rsidRPr="001A5B58">
        <w:t>”-formaatissa, joka on toiminut olosuhteisiin nähden hyvin. Rotaation mukaan Barents</w:t>
      </w:r>
      <w:r>
        <w:t>-</w:t>
      </w:r>
      <w:r w:rsidRPr="001A5B58">
        <w:t>puheenjohtajuus siirtyy Venäjälle syksyllä 2023</w:t>
      </w:r>
      <w:r>
        <w:t>.</w:t>
      </w:r>
    </w:p>
    <w:p xmlns:wp14="http://schemas.microsoft.com/office/word/2010/wordml" w:rsidRPr="00670322" w:rsidR="008E1127" w:rsidP="008E1127" w:rsidRDefault="008E1127" w14:paraId="607B3C93" wp14:textId="77777777">
      <w:pPr>
        <w:pStyle w:val="Luettelokappale"/>
        <w:numPr>
          <w:ilvl w:val="0"/>
          <w:numId w:val="1"/>
        </w:numPr>
        <w:spacing w:after="0" w:line="240" w:lineRule="auto"/>
        <w:rPr>
          <w:i/>
          <w:iCs/>
        </w:rPr>
      </w:pPr>
      <w:r w:rsidRPr="001A5B58">
        <w:t>Poliittisesti epäselvä tilanne aiheuttaa haasteita alueellisilla yhteistyöfoorum</w:t>
      </w:r>
      <w:r w:rsidRPr="00670322">
        <w:t>eilla. Johtuen epävarmuudesta ja alueellisen yhteistyön rahoituksen katkeamisesta tutkijat</w:t>
      </w:r>
      <w:r>
        <w:t xml:space="preserve"> sekä</w:t>
      </w:r>
      <w:r w:rsidRPr="00670322">
        <w:t xml:space="preserve"> paikalliset ja kansalaisyhteiskunnan toimijat, joiden varaan käytännön yhteistyö on paljolti rakentunut</w:t>
      </w:r>
      <w:r w:rsidRPr="001A5B58">
        <w:t xml:space="preserve">, joutuvat suuntaamaan resurssinsa muuhun tekemiseen. Sama koskee </w:t>
      </w:r>
      <w:r w:rsidRPr="00670322">
        <w:t>myös valtion- ja aluehallinnon toimijoita, joiden varassa yhteistyörakenteita on ylläpidetty ja kehitetty. Siksi tarvitaan poliittisia päätöksiä alueellisen yhteistyön jatkamisen muodoista tilanteessa, jossa on selvää, että Venäjän poissaolo yhteistyöstä ei tule olemaan lyhytaikaista</w:t>
      </w:r>
      <w:r w:rsidRPr="001A5B58">
        <w:t>, vaan tulee kestämään parhaimmassakin tapauksessa vuosia.</w:t>
      </w:r>
    </w:p>
    <w:p xmlns:wp14="http://schemas.microsoft.com/office/word/2010/wordml" w:rsidRPr="00670322" w:rsidR="008E1127" w:rsidP="008E1127" w:rsidRDefault="008E1127" w14:paraId="2E6F7B62" wp14:textId="77777777">
      <w:pPr>
        <w:pStyle w:val="Luettelokappale"/>
        <w:numPr>
          <w:ilvl w:val="0"/>
          <w:numId w:val="1"/>
        </w:numPr>
        <w:spacing w:after="0" w:line="240" w:lineRule="auto"/>
        <w:rPr>
          <w:i/>
          <w:iCs/>
        </w:rPr>
      </w:pPr>
      <w:r w:rsidRPr="001A5B58">
        <w:t>Samaan aikaan</w:t>
      </w:r>
      <w:r>
        <w:t>,</w:t>
      </w:r>
      <w:r w:rsidRPr="001A5B58">
        <w:t xml:space="preserve"> kun muiden alueellisten </w:t>
      </w:r>
      <w:r>
        <w:t>yhteistyörakenteiden toiminnassa</w:t>
      </w:r>
      <w:r w:rsidRPr="00670322">
        <w:t xml:space="preserve"> on haasteita Venäjän vuoksi, Pohjoismaisen yhteistyön merkitys ja rooli on vahvistunut. Pohjoismaat tekevät Suomen ja Ruotsin NATO-jäsenyyden myötä aiempaa tiiviimpää puolustus- ja turvallisuusyhteistyötä</w:t>
      </w:r>
      <w:r w:rsidRPr="001A5B58">
        <w:t xml:space="preserve">, ja energiakriisi on syventänyt </w:t>
      </w:r>
      <w:r>
        <w:t xml:space="preserve">niiden </w:t>
      </w:r>
      <w:r w:rsidRPr="001A5B58">
        <w:t>yhteistyötä energiaan ja huoltovarmuuteen liittyvissä kysymyksissä. Pohjoismai</w:t>
      </w:r>
      <w:r w:rsidRPr="00670322">
        <w:t xml:space="preserve">den rooli vihreän siirtymän edelläkävijöinä ja sosiaalisesti tasa-arvoisina </w:t>
      </w:r>
      <w:r w:rsidRPr="00670322">
        <w:lastRenderedPageBreak/>
        <w:t>yhteiskuntina on noussut entistä merkittävämpään rooliin globaalisti, ja tarjoaa paljon uusia yhteistyömahdollisuuksia.</w:t>
      </w:r>
    </w:p>
    <w:p xmlns:wp14="http://schemas.microsoft.com/office/word/2010/wordml" w:rsidR="008E1127" w:rsidP="008E1127" w:rsidRDefault="008E1127" w14:paraId="6A05A809" wp14:textId="77777777">
      <w:pPr>
        <w:pStyle w:val="Luettelokappale"/>
        <w:spacing w:after="0" w:line="240" w:lineRule="auto"/>
      </w:pPr>
    </w:p>
    <w:p xmlns:wp14="http://schemas.microsoft.com/office/word/2010/wordml" w:rsidR="008E1127" w:rsidP="008E1127" w:rsidRDefault="008E1127" w14:paraId="35CAF844" wp14:textId="77777777">
      <w:pPr>
        <w:spacing w:after="0"/>
        <w:rPr>
          <w:b/>
          <w:bCs/>
        </w:rPr>
      </w:pPr>
      <w:r>
        <w:rPr>
          <w:b/>
          <w:bCs/>
        </w:rPr>
        <w:t xml:space="preserve">3. Esitettävät toimenpiteet </w:t>
      </w:r>
    </w:p>
    <w:p xmlns:wp14="http://schemas.microsoft.com/office/word/2010/wordml" w:rsidRPr="00670322" w:rsidR="008E1127" w:rsidP="008E1127" w:rsidRDefault="008E1127" w14:paraId="0263F5CF" wp14:textId="77777777">
      <w:pPr>
        <w:pStyle w:val="Luettelokappale"/>
        <w:numPr>
          <w:ilvl w:val="0"/>
          <w:numId w:val="1"/>
        </w:numPr>
        <w:spacing w:after="0"/>
        <w:rPr>
          <w:rFonts w:ascii="Calibri" w:hAnsi="Calibri" w:cs="Calibri"/>
          <w:color w:val="212529"/>
        </w:rPr>
      </w:pPr>
      <w:r w:rsidRPr="00670322">
        <w:rPr>
          <w:rStyle w:val="normaltextrun"/>
          <w:rFonts w:ascii="Calibri" w:hAnsi="Calibri" w:cs="Calibri"/>
          <w:color w:val="212529"/>
          <w:shd w:val="clear" w:color="auto" w:fill="FFFFFF"/>
        </w:rPr>
        <w:t xml:space="preserve">Hallitus laatii analyysin arktisen, Barentsin ja Itämeren alueen ympäristöyhteistyön tilanteesta ja </w:t>
      </w:r>
      <w:r>
        <w:rPr>
          <w:rStyle w:val="normaltextrun"/>
          <w:rFonts w:ascii="Calibri" w:hAnsi="Calibri" w:cs="Calibri"/>
          <w:color w:val="212529"/>
          <w:shd w:val="clear" w:color="auto" w:fill="FFFFFF"/>
        </w:rPr>
        <w:t>jatkosta</w:t>
      </w:r>
      <w:r w:rsidRPr="00670322">
        <w:rPr>
          <w:rStyle w:val="normaltextrun"/>
          <w:rFonts w:ascii="Calibri" w:hAnsi="Calibri" w:cs="Calibri"/>
          <w:color w:val="212529"/>
          <w:shd w:val="clear" w:color="auto" w:fill="FFFFFF"/>
        </w:rPr>
        <w:t xml:space="preserve"> uuden geopoliittisen tilanteen ja siihen liittyvien skenaarioiden pohjalta</w:t>
      </w:r>
      <w:r>
        <w:rPr>
          <w:rStyle w:val="normaltextrun"/>
          <w:rFonts w:ascii="Calibri" w:hAnsi="Calibri" w:cs="Calibri"/>
          <w:color w:val="212529"/>
          <w:shd w:val="clear" w:color="auto" w:fill="FFFFFF"/>
        </w:rPr>
        <w:t xml:space="preserve">. Analyysissa </w:t>
      </w:r>
      <w:r>
        <w:rPr>
          <w:rFonts w:ascii="Calibri" w:hAnsi="Calibri" w:eastAsia="Calibri" w:cs="Calibri"/>
        </w:rPr>
        <w:t>huomioidaa</w:t>
      </w:r>
      <w:r w:rsidRPr="000B5326">
        <w:rPr>
          <w:rFonts w:ascii="Calibri" w:hAnsi="Calibri" w:eastAsia="Calibri" w:cs="Calibri"/>
        </w:rPr>
        <w:t>n muiden toimijoiden, kuten Pohjoismaiden ministerineuvoston ja EU:n aluepoliittisten ohjelmien linjaukset</w:t>
      </w:r>
      <w:r>
        <w:rPr>
          <w:rFonts w:ascii="Calibri" w:hAnsi="Calibri" w:eastAsia="Calibri" w:cs="Calibri"/>
        </w:rPr>
        <w:t xml:space="preserve">; </w:t>
      </w:r>
      <w:r w:rsidRPr="000B5326">
        <w:rPr>
          <w:rFonts w:ascii="Calibri" w:hAnsi="Calibri" w:eastAsia="Calibri" w:cs="Calibri"/>
        </w:rPr>
        <w:t xml:space="preserve">sekä ilmastonmuutoksen, luontokadon ja vihreän siirtymän kysymykset ja </w:t>
      </w:r>
      <w:r>
        <w:rPr>
          <w:rFonts w:ascii="Calibri" w:hAnsi="Calibri" w:eastAsia="Calibri" w:cs="Calibri"/>
        </w:rPr>
        <w:t xml:space="preserve">niihin liittyvät </w:t>
      </w:r>
      <w:r w:rsidRPr="000B5326">
        <w:rPr>
          <w:rFonts w:ascii="Calibri" w:hAnsi="Calibri" w:eastAsia="Calibri" w:cs="Calibri"/>
        </w:rPr>
        <w:t>yhteistyötarpeet rajat</w:t>
      </w:r>
      <w:r>
        <w:rPr>
          <w:rFonts w:ascii="Calibri" w:hAnsi="Calibri" w:eastAsia="Calibri" w:cs="Calibri"/>
        </w:rPr>
        <w:t xml:space="preserve"> </w:t>
      </w:r>
      <w:r w:rsidRPr="000B5326">
        <w:rPr>
          <w:rFonts w:ascii="Calibri" w:hAnsi="Calibri" w:eastAsia="Calibri" w:cs="Calibri"/>
        </w:rPr>
        <w:t xml:space="preserve">ylittävässä ja alueellisessa yhteistyössä. </w:t>
      </w:r>
      <w:r>
        <w:rPr>
          <w:rFonts w:ascii="Calibri" w:hAnsi="Calibri" w:eastAsia="Calibri" w:cs="Calibri"/>
        </w:rPr>
        <w:t>Analyysissa otetaan huomioon</w:t>
      </w:r>
      <w:r w:rsidRPr="00670322">
        <w:rPr>
          <w:rFonts w:ascii="Calibri" w:hAnsi="Calibri" w:eastAsia="Calibri" w:cs="Calibri"/>
        </w:rPr>
        <w:t xml:space="preserve"> alueellisten yhteistyöjärjestöjen toiminnan fokus ja erityispiirteet, kiinnittäen erityistä huomioita eri yhteistyömuotojen synergiaan ja mahdollisten päällekkäisten toimintojen välttämiseen. Analyysin tuloksena muotoillaan Suomen näkemys alueellisen ympäristöyhteistyön suuntaamisesta ja yhteistyön muodoista eri foorumeilla uudessa geopoliittisessa tilanteessa.</w:t>
      </w:r>
    </w:p>
    <w:p xmlns:wp14="http://schemas.microsoft.com/office/word/2010/wordml" w:rsidR="00F87171" w:rsidRDefault="00F817C9" w14:paraId="5A39BBE3" wp14:textId="77777777"/>
    <w:sectPr w:rsidR="00F87171">
      <w:pgSz w:w="11906" w:h="16838" w:orient="portrait"/>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831000"/>
    <w:multiLevelType w:val="hybridMultilevel"/>
    <w:tmpl w:val="8242AC0A"/>
    <w:lvl w:ilvl="0" w:tplc="040B0001">
      <w:start w:val="1"/>
      <w:numFmt w:val="bullet"/>
      <w:lvlText w:val=""/>
      <w:lvlJc w:val="left"/>
      <w:pPr>
        <w:ind w:left="720" w:hanging="360"/>
      </w:pPr>
      <w:rPr>
        <w:rFonts w:hint="default" w:ascii="Symbol" w:hAnsi="Symbol"/>
      </w:rPr>
    </w:lvl>
    <w:lvl w:ilvl="1" w:tplc="040B0003">
      <w:start w:val="1"/>
      <w:numFmt w:val="bullet"/>
      <w:lvlText w:val="o"/>
      <w:lvlJc w:val="left"/>
      <w:pPr>
        <w:ind w:left="1440" w:hanging="360"/>
      </w:pPr>
      <w:rPr>
        <w:rFonts w:hint="default" w:ascii="Courier New" w:hAnsi="Courier New" w:cs="Courier New"/>
      </w:rPr>
    </w:lvl>
    <w:lvl w:ilvl="2" w:tplc="040B0005" w:tentative="1">
      <w:start w:val="1"/>
      <w:numFmt w:val="bullet"/>
      <w:lvlText w:val=""/>
      <w:lvlJc w:val="left"/>
      <w:pPr>
        <w:ind w:left="2160" w:hanging="360"/>
      </w:pPr>
      <w:rPr>
        <w:rFonts w:hint="default" w:ascii="Wingdings" w:hAnsi="Wingdings"/>
      </w:rPr>
    </w:lvl>
    <w:lvl w:ilvl="3" w:tplc="040B0001" w:tentative="1">
      <w:start w:val="1"/>
      <w:numFmt w:val="bullet"/>
      <w:lvlText w:val=""/>
      <w:lvlJc w:val="left"/>
      <w:pPr>
        <w:ind w:left="2880" w:hanging="360"/>
      </w:pPr>
      <w:rPr>
        <w:rFonts w:hint="default" w:ascii="Symbol" w:hAnsi="Symbol"/>
      </w:rPr>
    </w:lvl>
    <w:lvl w:ilvl="4" w:tplc="040B0003" w:tentative="1">
      <w:start w:val="1"/>
      <w:numFmt w:val="bullet"/>
      <w:lvlText w:val="o"/>
      <w:lvlJc w:val="left"/>
      <w:pPr>
        <w:ind w:left="3600" w:hanging="360"/>
      </w:pPr>
      <w:rPr>
        <w:rFonts w:hint="default" w:ascii="Courier New" w:hAnsi="Courier New" w:cs="Courier New"/>
      </w:rPr>
    </w:lvl>
    <w:lvl w:ilvl="5" w:tplc="040B0005" w:tentative="1">
      <w:start w:val="1"/>
      <w:numFmt w:val="bullet"/>
      <w:lvlText w:val=""/>
      <w:lvlJc w:val="left"/>
      <w:pPr>
        <w:ind w:left="4320" w:hanging="360"/>
      </w:pPr>
      <w:rPr>
        <w:rFonts w:hint="default" w:ascii="Wingdings" w:hAnsi="Wingdings"/>
      </w:rPr>
    </w:lvl>
    <w:lvl w:ilvl="6" w:tplc="040B0001" w:tentative="1">
      <w:start w:val="1"/>
      <w:numFmt w:val="bullet"/>
      <w:lvlText w:val=""/>
      <w:lvlJc w:val="left"/>
      <w:pPr>
        <w:ind w:left="5040" w:hanging="360"/>
      </w:pPr>
      <w:rPr>
        <w:rFonts w:hint="default" w:ascii="Symbol" w:hAnsi="Symbol"/>
      </w:rPr>
    </w:lvl>
    <w:lvl w:ilvl="7" w:tplc="040B0003" w:tentative="1">
      <w:start w:val="1"/>
      <w:numFmt w:val="bullet"/>
      <w:lvlText w:val="o"/>
      <w:lvlJc w:val="left"/>
      <w:pPr>
        <w:ind w:left="5760" w:hanging="360"/>
      </w:pPr>
      <w:rPr>
        <w:rFonts w:hint="default" w:ascii="Courier New" w:hAnsi="Courier New" w:cs="Courier New"/>
      </w:rPr>
    </w:lvl>
    <w:lvl w:ilvl="8" w:tplc="040B0005" w:tentative="1">
      <w:start w:val="1"/>
      <w:numFmt w:val="bullet"/>
      <w:lvlText w:val=""/>
      <w:lvlJc w:val="left"/>
      <w:pPr>
        <w:ind w:left="6480" w:hanging="360"/>
      </w:pPr>
      <w:rPr>
        <w:rFonts w:hint="default" w:ascii="Wingdings" w:hAnsi="Wingdings"/>
      </w:rPr>
    </w:lvl>
  </w:abstract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dirty"/>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127"/>
    <w:rsid w:val="004024C8"/>
    <w:rsid w:val="008E1127"/>
    <w:rsid w:val="00CE6FBB"/>
    <w:rsid w:val="00F817C9"/>
    <w:rsid w:val="17ABFB0A"/>
    <w:rsid w:val="51184D7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FD55A"/>
  <w15:chartTrackingRefBased/>
  <w15:docId w15:val="{746C39B5-50FF-4B90-B8DC-DDCDF13D19F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ali" w:default="1">
    <w:name w:val="Normal"/>
    <w:qFormat/>
    <w:rsid w:val="008E1127"/>
  </w:style>
  <w:style w:type="paragraph" w:styleId="Otsikko2">
    <w:name w:val="heading 2"/>
    <w:basedOn w:val="Normaali"/>
    <w:next w:val="Normaali"/>
    <w:link w:val="Otsikko2Char"/>
    <w:uiPriority w:val="9"/>
    <w:unhideWhenUsed/>
    <w:qFormat/>
    <w:rsid w:val="008E1127"/>
    <w:pPr>
      <w:keepNext/>
      <w:keepLines/>
      <w:spacing w:before="40" w:after="0" w:line="240" w:lineRule="auto"/>
      <w:outlineLvl w:val="1"/>
    </w:pPr>
    <w:rPr>
      <w:rFonts w:asciiTheme="majorHAnsi" w:hAnsiTheme="majorHAnsi" w:eastAsiaTheme="majorEastAsia" w:cstheme="majorBidi"/>
      <w:color w:val="2E74B5" w:themeColor="accent1" w:themeShade="BF"/>
      <w:sz w:val="26"/>
      <w:szCs w:val="26"/>
    </w:rPr>
  </w:style>
  <w:style w:type="character" w:styleId="Kappaleenoletusfontti" w:default="1">
    <w:name w:val="Default Paragraph Font"/>
    <w:uiPriority w:val="1"/>
    <w:semiHidden/>
    <w:unhideWhenUsed/>
  </w:style>
  <w:style w:type="table" w:styleId="Normaalitaulukko" w:default="1">
    <w:name w:val="Normal Table"/>
    <w:uiPriority w:val="99"/>
    <w:semiHidden/>
    <w:unhideWhenUsed/>
    <w:tblPr>
      <w:tblInd w:w="0" w:type="dxa"/>
      <w:tblCellMar>
        <w:top w:w="0" w:type="dxa"/>
        <w:left w:w="108" w:type="dxa"/>
        <w:bottom w:w="0" w:type="dxa"/>
        <w:right w:w="108" w:type="dxa"/>
      </w:tblCellMar>
    </w:tblPr>
  </w:style>
  <w:style w:type="numbering" w:styleId="Eiluetteloa" w:default="1">
    <w:name w:val="No List"/>
    <w:uiPriority w:val="99"/>
    <w:semiHidden/>
    <w:unhideWhenUsed/>
  </w:style>
  <w:style w:type="character" w:styleId="Otsikko2Char" w:customStyle="1">
    <w:name w:val="Otsikko 2 Char"/>
    <w:basedOn w:val="Kappaleenoletusfontti"/>
    <w:link w:val="Otsikko2"/>
    <w:uiPriority w:val="9"/>
    <w:rsid w:val="008E1127"/>
    <w:rPr>
      <w:rFonts w:asciiTheme="majorHAnsi" w:hAnsiTheme="majorHAnsi" w:eastAsiaTheme="majorEastAsia" w:cstheme="majorBidi"/>
      <w:color w:val="2E74B5" w:themeColor="accent1" w:themeShade="BF"/>
      <w:sz w:val="26"/>
      <w:szCs w:val="26"/>
    </w:rPr>
  </w:style>
  <w:style w:type="paragraph" w:styleId="Luettelokappale">
    <w:name w:val="List Paragraph"/>
    <w:basedOn w:val="Normaali"/>
    <w:link w:val="LuettelokappaleChar"/>
    <w:uiPriority w:val="34"/>
    <w:qFormat/>
    <w:rsid w:val="008E1127"/>
    <w:pPr>
      <w:ind w:left="720"/>
      <w:contextualSpacing/>
    </w:pPr>
  </w:style>
  <w:style w:type="character" w:styleId="LuettelokappaleChar" w:customStyle="1">
    <w:name w:val="Luettelokappale Char"/>
    <w:link w:val="Luettelokappale"/>
    <w:uiPriority w:val="34"/>
    <w:rsid w:val="008E1127"/>
  </w:style>
  <w:style w:type="character" w:styleId="normaltextrun" w:customStyle="1">
    <w:name w:val="normaltextrun"/>
    <w:basedOn w:val="Kappaleenoletusfontti"/>
    <w:rsid w:val="008E1127"/>
  </w:style>
  <w:style w:type="character" w:styleId="eop" w:customStyle="1">
    <w:name w:val="eop"/>
    <w:basedOn w:val="Kappaleenoletusfontti"/>
    <w:rsid w:val="008E11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cce3c4a-091f-4b07-a6c7-e4a083e8073a" ContentTypeId="0x010100B5FAB64B6C204DD994D3FAC0C34E2BFF"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Props1.xml><?xml version="1.0" encoding="utf-8"?>
<ds:datastoreItem xmlns:ds="http://schemas.openxmlformats.org/officeDocument/2006/customXml" ds:itemID="{E717BC82-CB85-41B6-80D1-81259BDAF430}"/>
</file>

<file path=customXml/itemProps2.xml><?xml version="1.0" encoding="utf-8"?>
<ds:datastoreItem xmlns:ds="http://schemas.openxmlformats.org/officeDocument/2006/customXml" ds:itemID="{D8D75146-3BED-4DC5-81CA-A0C85E2CD1F1}"/>
</file>

<file path=customXml/itemProps3.xml><?xml version="1.0" encoding="utf-8"?>
<ds:datastoreItem xmlns:ds="http://schemas.openxmlformats.org/officeDocument/2006/customXml" ds:itemID="{C0B4DA82-E065-4C51-B89D-D7CE76D5B6E0}"/>
</file>

<file path=customXml/itemProps4.xml><?xml version="1.0" encoding="utf-8"?>
<ds:datastoreItem xmlns:ds="http://schemas.openxmlformats.org/officeDocument/2006/customXml" ds:itemID="{F61D8A48-C2EC-4F67-9CFE-F6695C29D40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Suomen valtion</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Lindblom Annika (YM)</dc:creator>
  <cp:keywords/>
  <dc:description/>
  <cp:lastModifiedBy>Lindblom Annika (YM)</cp:lastModifiedBy>
  <cp:revision>4</cp:revision>
  <dcterms:created xsi:type="dcterms:W3CDTF">2022-12-14T20:22:00Z</dcterms:created>
  <dcterms:modified xsi:type="dcterms:W3CDTF">2023-03-29T13:01:14Z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