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D83" w:rsidRDefault="00F91D83" w:rsidP="004F2B80">
      <w:pPr>
        <w:pStyle w:val="Otsikko2"/>
      </w:pPr>
      <w:r w:rsidRPr="00F91D83">
        <w:t>Mitä</w:t>
      </w:r>
      <w:bookmarkStart w:id="0" w:name="_GoBack"/>
      <w:bookmarkEnd w:id="0"/>
      <w:r w:rsidRPr="00F91D83">
        <w:t xml:space="preserve"> tapahtuu, jos LULUCF-asetuksen kauden 2021-2025 velvoitetta ei saavuteta?</w:t>
      </w:r>
    </w:p>
    <w:p w:rsidR="00401FE7" w:rsidRPr="00F91D83" w:rsidRDefault="00401FE7" w:rsidP="00F91D83">
      <w:pPr>
        <w:spacing w:line="240" w:lineRule="auto"/>
        <w:rPr>
          <w:rStyle w:val="rphighlightallclass"/>
          <w:rFonts w:asciiTheme="minorHAnsi" w:hAnsiTheme="minorHAnsi"/>
          <w:b/>
        </w:rPr>
      </w:pPr>
    </w:p>
    <w:p w:rsidR="005A1D82" w:rsidRDefault="005A1D82" w:rsidP="00F91D83">
      <w:pPr>
        <w:spacing w:line="240" w:lineRule="auto"/>
        <w:rPr>
          <w:rFonts w:asciiTheme="minorHAnsi" w:hAnsiTheme="minorHAnsi"/>
        </w:rPr>
      </w:pPr>
      <w:r w:rsidRPr="005A1D82">
        <w:rPr>
          <w:rFonts w:asciiTheme="minorHAnsi" w:hAnsiTheme="minorHAnsi"/>
        </w:rPr>
        <w:t>Kauden 2021–2025 vaatimustenmukaisuuden tarkastaminen tehdään kaikille jäsenmaille vuonna 2027.</w:t>
      </w:r>
    </w:p>
    <w:p w:rsidR="00C41760" w:rsidRDefault="00C41760" w:rsidP="00C41760">
      <w:pPr>
        <w:spacing w:line="240" w:lineRule="auto"/>
        <w:rPr>
          <w:rFonts w:asciiTheme="minorHAnsi" w:hAnsiTheme="minorHAnsi"/>
        </w:rPr>
      </w:pPr>
      <w:r w:rsidRPr="00C41760">
        <w:rPr>
          <w:rFonts w:asciiTheme="minorHAnsi" w:hAnsiTheme="minorHAnsi"/>
        </w:rPr>
        <w:t xml:space="preserve">Luonnonvarakeskuksen selvityksen (12/2022) mukaan kaudella 2021–2025 alijäämää suhteessa LULUCF-asetuksen mukaiseen velvoitteeseen syntyisi 50–80 Mt CO2 </w:t>
      </w:r>
      <w:proofErr w:type="spellStart"/>
      <w:r w:rsidRPr="00C41760">
        <w:rPr>
          <w:rFonts w:asciiTheme="minorHAnsi" w:hAnsiTheme="minorHAnsi"/>
        </w:rPr>
        <w:t>ekv</w:t>
      </w:r>
      <w:proofErr w:type="spellEnd"/>
      <w:r w:rsidRPr="00C41760">
        <w:rPr>
          <w:rFonts w:asciiTheme="minorHAnsi" w:hAnsiTheme="minorHAnsi"/>
        </w:rPr>
        <w:t>., kun siirtoja muilta jä</w:t>
      </w:r>
      <w:r>
        <w:rPr>
          <w:rFonts w:asciiTheme="minorHAnsi" w:hAnsiTheme="minorHAnsi"/>
        </w:rPr>
        <w:t>senvaltioilta ei oteta huomioon. V</w:t>
      </w:r>
      <w:r w:rsidRPr="00C41760">
        <w:rPr>
          <w:rFonts w:asciiTheme="minorHAnsi" w:hAnsiTheme="minorHAnsi"/>
        </w:rPr>
        <w:t>aje voi olla jopa 110 miljoonaa tonnia, jos</w:t>
      </w:r>
      <w:r>
        <w:rPr>
          <w:rFonts w:asciiTheme="minorHAnsi" w:hAnsiTheme="minorHAnsi"/>
        </w:rPr>
        <w:t xml:space="preserve"> EU kokonaisuutena ei saavuta tavoitetta ”laskennalliset nielut vähintään yhtä suuret kuin laskennalliset päästöt”</w:t>
      </w:r>
      <w:r w:rsidR="00401FE7">
        <w:rPr>
          <w:rFonts w:asciiTheme="minorHAnsi" w:hAnsiTheme="minorHAnsi"/>
        </w:rPr>
        <w:t xml:space="preserve"> (nettonolla-sääntö)</w:t>
      </w:r>
      <w:r>
        <w:rPr>
          <w:rFonts w:asciiTheme="minorHAnsi" w:hAnsiTheme="minorHAnsi"/>
        </w:rPr>
        <w:t>, koska</w:t>
      </w:r>
      <w:r w:rsidRPr="00C41760">
        <w:rPr>
          <w:rFonts w:asciiTheme="minorHAnsi" w:hAnsiTheme="minorHAnsi"/>
        </w:rPr>
        <w:t xml:space="preserve"> LULUCF joustot eivät ole</w:t>
      </w:r>
      <w:r>
        <w:rPr>
          <w:rFonts w:asciiTheme="minorHAnsi" w:hAnsiTheme="minorHAnsi"/>
        </w:rPr>
        <w:t xml:space="preserve"> tällöin</w:t>
      </w:r>
      <w:r w:rsidRPr="00C41760">
        <w:rPr>
          <w:rFonts w:asciiTheme="minorHAnsi" w:hAnsiTheme="minorHAnsi"/>
        </w:rPr>
        <w:t xml:space="preserve"> käytettävissä.</w:t>
      </w:r>
    </w:p>
    <w:p w:rsidR="00C41760" w:rsidRDefault="00690ED8" w:rsidP="00C41760">
      <w:pPr>
        <w:spacing w:line="240" w:lineRule="auto"/>
        <w:rPr>
          <w:rFonts w:asciiTheme="minorHAnsi" w:hAnsiTheme="minorHAnsi"/>
        </w:rPr>
      </w:pPr>
      <w:r>
        <w:rPr>
          <w:rFonts w:asciiTheme="minorHAnsi" w:hAnsiTheme="minorHAnsi"/>
        </w:rPr>
        <w:t xml:space="preserve">Maankäyttösektorin </w:t>
      </w:r>
      <w:r w:rsidRPr="00C41760">
        <w:rPr>
          <w:rFonts w:asciiTheme="minorHAnsi" w:hAnsiTheme="minorHAnsi"/>
        </w:rPr>
        <w:t>LULUCF-velvoittee</w:t>
      </w:r>
      <w:r>
        <w:rPr>
          <w:rFonts w:asciiTheme="minorHAnsi" w:hAnsiTheme="minorHAnsi"/>
        </w:rPr>
        <w:t>n vajeen vähentäminen vaatisi</w:t>
      </w:r>
      <w:r w:rsidR="00C41760">
        <w:rPr>
          <w:rFonts w:asciiTheme="minorHAnsi" w:hAnsiTheme="minorHAnsi"/>
        </w:rPr>
        <w:t xml:space="preserve"> </w:t>
      </w:r>
      <w:r w:rsidR="00C41760" w:rsidRPr="00C41760">
        <w:rPr>
          <w:rFonts w:asciiTheme="minorHAnsi" w:hAnsiTheme="minorHAnsi"/>
        </w:rPr>
        <w:t>merkittäviä lisätoimia (mm. hakkuutasoihin vaikuttaminen ja maatalousmaiden maaperäpäästöjen vähentäminen).</w:t>
      </w:r>
      <w:r w:rsidR="00C41760">
        <w:rPr>
          <w:rFonts w:asciiTheme="minorHAnsi" w:hAnsiTheme="minorHAnsi"/>
        </w:rPr>
        <w:t xml:space="preserve"> Lisäksi tul</w:t>
      </w:r>
      <w:r>
        <w:rPr>
          <w:rFonts w:asciiTheme="minorHAnsi" w:hAnsiTheme="minorHAnsi"/>
        </w:rPr>
        <w:t>isi</w:t>
      </w:r>
      <w:r w:rsidR="00C41760">
        <w:rPr>
          <w:rFonts w:asciiTheme="minorHAnsi" w:hAnsiTheme="minorHAnsi"/>
        </w:rPr>
        <w:t xml:space="preserve"> tehdä suunnitelma, kuinka h</w:t>
      </w:r>
      <w:r w:rsidR="00C41760" w:rsidRPr="00C41760">
        <w:rPr>
          <w:rFonts w:asciiTheme="minorHAnsi" w:hAnsiTheme="minorHAnsi"/>
        </w:rPr>
        <w:t>ankitaan muista EU:n jäsenvaltioista LULUCF-poistumayksiköitä, joilla katetaan Suomen LULUCF-sektorin vajetta. Kustannukset voivat nousta miljardiluokkaan, riippuen nieluyksiköiden hinnasta</w:t>
      </w:r>
      <w:r w:rsidR="00C41760">
        <w:rPr>
          <w:rFonts w:asciiTheme="minorHAnsi" w:hAnsiTheme="minorHAnsi"/>
        </w:rPr>
        <w:t xml:space="preserve"> (Kuva 1)</w:t>
      </w:r>
      <w:r w:rsidR="00C41760" w:rsidRPr="00C41760">
        <w:rPr>
          <w:rFonts w:asciiTheme="minorHAnsi" w:hAnsiTheme="minorHAnsi"/>
        </w:rPr>
        <w:t>.</w:t>
      </w:r>
    </w:p>
    <w:p w:rsidR="00C41760" w:rsidRDefault="00C41760" w:rsidP="00C41760">
      <w:pPr>
        <w:spacing w:line="240" w:lineRule="auto"/>
        <w:rPr>
          <w:rFonts w:asciiTheme="minorHAnsi" w:hAnsiTheme="minorHAnsi"/>
        </w:rPr>
      </w:pPr>
    </w:p>
    <w:p w:rsidR="00C41760" w:rsidRDefault="00C41760" w:rsidP="00C41760">
      <w:pPr>
        <w:spacing w:line="240" w:lineRule="auto"/>
        <w:rPr>
          <w:rFonts w:asciiTheme="minorHAnsi" w:hAnsiTheme="minorHAnsi"/>
        </w:rPr>
      </w:pPr>
    </w:p>
    <w:p w:rsidR="00C41760" w:rsidRDefault="00C41760" w:rsidP="00C41760">
      <w:pPr>
        <w:spacing w:line="240" w:lineRule="auto"/>
        <w:rPr>
          <w:rFonts w:asciiTheme="minorHAnsi" w:hAnsiTheme="minorHAnsi"/>
        </w:rPr>
      </w:pPr>
      <w:r w:rsidRPr="00C41760">
        <w:rPr>
          <w:rFonts w:asciiTheme="minorHAnsi" w:hAnsiTheme="minorHAnsi"/>
          <w:noProof/>
          <w:lang w:eastAsia="fi-FI"/>
        </w:rPr>
        <w:drawing>
          <wp:inline distT="0" distB="0" distL="0" distR="0" wp14:anchorId="656F81B0" wp14:editId="21D44772">
            <wp:extent cx="6120130" cy="3998595"/>
            <wp:effectExtent l="0" t="0" r="0" b="1905"/>
            <wp:docPr id="7"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6"/>
                    <pic:cNvPicPr>
                      <a:picLocks noChangeAspect="1"/>
                    </pic:cNvPicPr>
                  </pic:nvPicPr>
                  <pic:blipFill>
                    <a:blip r:embed="rId7"/>
                    <a:stretch>
                      <a:fillRect/>
                    </a:stretch>
                  </pic:blipFill>
                  <pic:spPr>
                    <a:xfrm>
                      <a:off x="0" y="0"/>
                      <a:ext cx="6120130" cy="3998595"/>
                    </a:xfrm>
                    <a:prstGeom prst="rect">
                      <a:avLst/>
                    </a:prstGeom>
                  </pic:spPr>
                </pic:pic>
              </a:graphicData>
            </a:graphic>
          </wp:inline>
        </w:drawing>
      </w:r>
    </w:p>
    <w:p w:rsidR="00C41760" w:rsidRDefault="00C41760" w:rsidP="00C41760">
      <w:pPr>
        <w:spacing w:line="240" w:lineRule="auto"/>
        <w:rPr>
          <w:rFonts w:asciiTheme="minorHAnsi" w:hAnsiTheme="minorHAnsi"/>
        </w:rPr>
      </w:pPr>
      <w:r>
        <w:rPr>
          <w:rFonts w:asciiTheme="minorHAnsi" w:hAnsiTheme="minorHAnsi"/>
        </w:rPr>
        <w:t xml:space="preserve">Kuva 1. </w:t>
      </w:r>
      <w:r w:rsidRPr="00C41760">
        <w:rPr>
          <w:rFonts w:asciiTheme="minorHAnsi" w:hAnsiTheme="minorHAnsi"/>
        </w:rPr>
        <w:t>Arvioita nieluyksiköiden ostojen kustannuksista erilaisilla nieluyksiköiden hintatasoilla</w:t>
      </w:r>
      <w:r>
        <w:rPr>
          <w:rFonts w:asciiTheme="minorHAnsi" w:hAnsiTheme="minorHAnsi"/>
        </w:rPr>
        <w:t xml:space="preserve">. </w:t>
      </w:r>
      <w:r w:rsidRPr="00C41760">
        <w:rPr>
          <w:rFonts w:asciiTheme="minorHAnsi" w:hAnsiTheme="minorHAnsi"/>
        </w:rPr>
        <w:t>Kustannusarvio laskettu koko velvoitekauden 2021-2025 arvioidulle alijäämälle.</w:t>
      </w:r>
    </w:p>
    <w:p w:rsidR="00C41760" w:rsidRPr="00C41760" w:rsidRDefault="00C41760" w:rsidP="00C41760">
      <w:pPr>
        <w:spacing w:line="240" w:lineRule="auto"/>
        <w:rPr>
          <w:rFonts w:asciiTheme="minorHAnsi" w:hAnsiTheme="minorHAnsi"/>
        </w:rPr>
      </w:pPr>
    </w:p>
    <w:p w:rsidR="00F91D83" w:rsidRPr="00F91D83" w:rsidRDefault="00F91D83" w:rsidP="00F91D83">
      <w:pPr>
        <w:spacing w:line="240" w:lineRule="auto"/>
        <w:rPr>
          <w:rStyle w:val="rphighlightallclass"/>
          <w:rFonts w:asciiTheme="minorHAnsi" w:hAnsiTheme="minorHAnsi"/>
        </w:rPr>
      </w:pPr>
      <w:r w:rsidRPr="00F91D83">
        <w:rPr>
          <w:rStyle w:val="rphighlightallclass"/>
          <w:rFonts w:asciiTheme="minorHAnsi" w:hAnsiTheme="minorHAnsi"/>
        </w:rPr>
        <w:t>Jos maankäyttösektorin joustoelementtien (metsämaajousto, Suomen erillisjousto, nieluyksiköiden ostot muilta jäsenmailta) hyödyntämisen jälkeen ei ole saavutettu kauden 2021-2025 LULUCF-sektorin velvoitetta, siirtyy vaje taakanjakosektorin katettavaksi. Tämä tarkoittaa käytännössä taakanjakosektorin vuotuisten päästökiintiöiden pienentämistä vastaavalla määrällä.</w:t>
      </w:r>
    </w:p>
    <w:p w:rsidR="00F91D83" w:rsidRPr="00F91D83" w:rsidRDefault="00F91D83" w:rsidP="00F91D83">
      <w:pPr>
        <w:spacing w:line="240" w:lineRule="auto"/>
        <w:rPr>
          <w:rStyle w:val="rphighlightallclass"/>
          <w:rFonts w:asciiTheme="minorHAnsi" w:hAnsiTheme="minorHAnsi"/>
        </w:rPr>
      </w:pPr>
      <w:r w:rsidRPr="00F91D83">
        <w:rPr>
          <w:rStyle w:val="rphighlightallclass"/>
          <w:rFonts w:asciiTheme="minorHAnsi" w:hAnsiTheme="minorHAnsi"/>
        </w:rPr>
        <w:lastRenderedPageBreak/>
        <w:t xml:space="preserve">Jos/kun LULUCF vajeen aikaansaaman päästökiintiön pienennyksen jälkeen taakanjakosektorin päästöt ylittävät päästökiintiön, tulee </w:t>
      </w:r>
      <w:r w:rsidR="00F942AF">
        <w:rPr>
          <w:rStyle w:val="rphighlightallclass"/>
          <w:rFonts w:asciiTheme="minorHAnsi" w:hAnsiTheme="minorHAnsi"/>
        </w:rPr>
        <w:t xml:space="preserve">taakanjakosektorilla </w:t>
      </w:r>
      <w:r w:rsidRPr="00F91D83">
        <w:rPr>
          <w:rStyle w:val="rphighlightallclass"/>
          <w:rFonts w:asciiTheme="minorHAnsi" w:hAnsiTheme="minorHAnsi"/>
        </w:rPr>
        <w:t xml:space="preserve">tehdä </w:t>
      </w:r>
      <w:r w:rsidR="00F942AF">
        <w:rPr>
          <w:rStyle w:val="rphighlightallclass"/>
          <w:rFonts w:asciiTheme="minorHAnsi" w:hAnsiTheme="minorHAnsi"/>
        </w:rPr>
        <w:t xml:space="preserve">päästöjä vähentäviä </w:t>
      </w:r>
      <w:r w:rsidRPr="00F91D83">
        <w:rPr>
          <w:rStyle w:val="rphighlightallclass"/>
          <w:rFonts w:asciiTheme="minorHAnsi" w:hAnsiTheme="minorHAnsi"/>
        </w:rPr>
        <w:t>lisätoimia, tai pyrkiä ostamaan taakanjakosektorin päästövähennysyksiköitä.</w:t>
      </w:r>
    </w:p>
    <w:p w:rsidR="00F91D83" w:rsidRPr="00F91D83" w:rsidRDefault="00F91D83" w:rsidP="00F91D83">
      <w:pPr>
        <w:spacing w:line="240" w:lineRule="auto"/>
        <w:rPr>
          <w:rStyle w:val="rphighlightallclass"/>
          <w:rFonts w:asciiTheme="minorHAnsi" w:hAnsiTheme="minorHAnsi"/>
        </w:rPr>
      </w:pPr>
      <w:r w:rsidRPr="00F91D83">
        <w:rPr>
          <w:rStyle w:val="rphighlightallclass"/>
          <w:rFonts w:asciiTheme="minorHAnsi" w:hAnsiTheme="minorHAnsi"/>
        </w:rPr>
        <w:t xml:space="preserve">Taakanjakosektorin lisätoimien hinnan on eri yhteyksissä arvioitu nousevan jopa 120–150 euroon per CO2-ekvivalenttitonni. Taakanjakosektorin lisätoimien tai ostettavien päästövähennysyksiköiden hintaa ja saatavuutta on vaikea arvioida luotettavasti. Monella jäsenmaalla on arvioiden mukaan haasteita saavuttaa taakanjakosektorin velvoitettaan, joten yksiköitä on todennäköisesti hyvin rajoitetusti saatavilla ja niiden hinta muodostuu selvästi korkeammaksi kuin nieluyksiköiden hinta. </w:t>
      </w:r>
    </w:p>
    <w:p w:rsidR="00F91D83" w:rsidRPr="00F91D83" w:rsidRDefault="00F91D83" w:rsidP="00F91D83">
      <w:pPr>
        <w:spacing w:line="240" w:lineRule="auto"/>
        <w:rPr>
          <w:rStyle w:val="rphighlightallclass"/>
          <w:rFonts w:asciiTheme="minorHAnsi" w:hAnsiTheme="minorHAnsi"/>
        </w:rPr>
      </w:pPr>
      <w:r w:rsidRPr="00F91D83">
        <w:rPr>
          <w:rStyle w:val="rphighlightallclass"/>
          <w:rFonts w:asciiTheme="minorHAnsi" w:hAnsiTheme="minorHAnsi"/>
        </w:rPr>
        <w:t>Jos taakanjakosektorin joustomahdollisuuksien käytön jälkeenkään jäsenvaltion edistyminen velvoitteidensa täyttämisessä ei ole ollut riittävää, jäsenvaltion pitää toimittaa komissiolle toimintasuunnitelma, jossa ovat korjaavat toimet. Jos näiden toimien jälkeen ei saavuteta vuosittaista päästökiintiötä, siirtyy vaje kertoimella 1,08 seuraavalle vuodelle.</w:t>
      </w:r>
    </w:p>
    <w:p w:rsidR="00F91D83" w:rsidRDefault="00267A28" w:rsidP="00F91D83">
      <w:pPr>
        <w:spacing w:line="240" w:lineRule="auto"/>
        <w:rPr>
          <w:rStyle w:val="rphighlightallclass"/>
          <w:rFonts w:asciiTheme="minorHAnsi" w:hAnsiTheme="minorHAnsi"/>
        </w:rPr>
      </w:pPr>
      <w:r>
        <w:rPr>
          <w:rStyle w:val="rphighlightallclass"/>
          <w:rFonts w:asciiTheme="minorHAnsi" w:hAnsiTheme="minorHAnsi"/>
        </w:rPr>
        <w:t xml:space="preserve">Eli jos kauden 2021-2025 LULUCF velvoitetta ei saavuteta, pienennetään taakanjakosektorin päästökiintiöitä jo ko. </w:t>
      </w:r>
      <w:r w:rsidRPr="00267A28">
        <w:rPr>
          <w:rStyle w:val="rphighlightallclass"/>
          <w:rFonts w:asciiTheme="minorHAnsi" w:hAnsiTheme="minorHAnsi"/>
        </w:rPr>
        <w:t xml:space="preserve">kaudella </w:t>
      </w:r>
      <w:r w:rsidRPr="00267A28">
        <w:rPr>
          <w:rStyle w:val="rphighlightallclass"/>
          <w:rFonts w:asciiTheme="minorHAnsi" w:hAnsiTheme="minorHAnsi"/>
          <w:i/>
          <w:highlight w:val="yellow"/>
        </w:rPr>
        <w:t>(”…</w:t>
      </w:r>
      <w:r w:rsidRPr="00267A28">
        <w:rPr>
          <w:rFonts w:asciiTheme="minorHAnsi" w:hAnsiTheme="minorHAnsi"/>
          <w:i/>
          <w:highlight w:val="yellow"/>
        </w:rPr>
        <w:t>asianomaisten vuosien osalta…”</w:t>
      </w:r>
      <w:r>
        <w:rPr>
          <w:rFonts w:asciiTheme="minorHAnsi" w:hAnsiTheme="minorHAnsi"/>
          <w:i/>
          <w:highlight w:val="yellow"/>
        </w:rPr>
        <w:t>, kts. alla</w:t>
      </w:r>
      <w:r w:rsidRPr="00267A28">
        <w:rPr>
          <w:rFonts w:asciiTheme="minorHAnsi" w:hAnsiTheme="minorHAnsi"/>
          <w:i/>
          <w:highlight w:val="yellow"/>
        </w:rPr>
        <w:t>)</w:t>
      </w:r>
      <w:r w:rsidRPr="00267A28">
        <w:rPr>
          <w:rStyle w:val="rphighlightallclass"/>
          <w:rFonts w:asciiTheme="minorHAnsi" w:hAnsiTheme="minorHAnsi"/>
        </w:rPr>
        <w:t>. J</w:t>
      </w:r>
      <w:r>
        <w:rPr>
          <w:rStyle w:val="rphighlightallclass"/>
          <w:rFonts w:asciiTheme="minorHAnsi" w:hAnsiTheme="minorHAnsi"/>
        </w:rPr>
        <w:t>os/kun vaje alkaa vuodesta 2021, pienennetään vuoden 2021 taakanjakosektorin päästökiintiötä ja pahimmillaan vaje kumuloituu kertoimella 1,08 läpi koko kauden, jonka jälkeen se siirtyy kertoimella 1,08 kaudelle 2026-2030 aiheuttaen erittäin suuria haasteita saavuttaa ko. kauden taakanjakosektorin velvoitteita.</w:t>
      </w:r>
    </w:p>
    <w:p w:rsidR="00267A28" w:rsidRPr="00267A28" w:rsidRDefault="00267A28" w:rsidP="00267A28">
      <w:pPr>
        <w:spacing w:line="240" w:lineRule="auto"/>
        <w:rPr>
          <w:rFonts w:asciiTheme="minorHAnsi" w:hAnsiTheme="minorHAnsi"/>
        </w:rPr>
      </w:pPr>
      <w:r w:rsidRPr="00267A28">
        <w:rPr>
          <w:rFonts w:asciiTheme="minorHAnsi" w:hAnsiTheme="minorHAnsi"/>
        </w:rPr>
        <w:t>Seuraamusmene</w:t>
      </w:r>
      <w:r>
        <w:rPr>
          <w:rFonts w:asciiTheme="minorHAnsi" w:hAnsiTheme="minorHAnsi"/>
        </w:rPr>
        <w:t>ttely: K</w:t>
      </w:r>
      <w:r w:rsidRPr="00267A28">
        <w:rPr>
          <w:rFonts w:asciiTheme="minorHAnsi" w:hAnsiTheme="minorHAnsi"/>
        </w:rPr>
        <w:t xml:space="preserve">omissio voi nostaa rikkomiskanteen ja EU-tuomioistuin tuomita Suomen velvoitteiden noudattamatta jättämisestä. </w:t>
      </w:r>
    </w:p>
    <w:p w:rsidR="00267A28" w:rsidRDefault="00267A28" w:rsidP="00267A28">
      <w:pPr>
        <w:spacing w:line="240" w:lineRule="auto"/>
        <w:rPr>
          <w:rFonts w:asciiTheme="minorHAnsi" w:hAnsiTheme="minorHAnsi"/>
        </w:rPr>
      </w:pPr>
      <w:r w:rsidRPr="00267A28">
        <w:rPr>
          <w:rFonts w:asciiTheme="minorHAnsi" w:hAnsiTheme="minorHAnsi"/>
        </w:rPr>
        <w:t>Tarkempia tietoja seuraamusmenettelystä tai sen taloudellisista ja muista vaikutuksista ei ole käytettävissä. Komissiolla harkintavaltaa menettelyssä. Pyrkimykset korjaaviin toimiin saatetaan nähdä lieventäviksi asianhaaroiksi.</w:t>
      </w:r>
    </w:p>
    <w:p w:rsidR="00401FE7" w:rsidRDefault="00401FE7" w:rsidP="00267A28">
      <w:pPr>
        <w:spacing w:line="240" w:lineRule="auto"/>
        <w:rPr>
          <w:rFonts w:asciiTheme="minorHAnsi" w:hAnsiTheme="minorHAnsi"/>
        </w:rPr>
      </w:pPr>
    </w:p>
    <w:p w:rsidR="00710C25" w:rsidRDefault="00401FE7" w:rsidP="00401FE7">
      <w:pPr>
        <w:spacing w:line="240" w:lineRule="auto"/>
        <w:rPr>
          <w:rFonts w:asciiTheme="minorHAnsi" w:hAnsiTheme="minorHAnsi"/>
          <w:b/>
        </w:rPr>
      </w:pPr>
      <w:r w:rsidRPr="00401FE7">
        <w:rPr>
          <w:rFonts w:asciiTheme="minorHAnsi" w:hAnsiTheme="minorHAnsi"/>
          <w:b/>
        </w:rPr>
        <w:t>Tilanne muissa EU:n jäsenmaissa</w:t>
      </w:r>
      <w:r>
        <w:rPr>
          <w:rFonts w:asciiTheme="minorHAnsi" w:hAnsiTheme="minorHAnsi"/>
          <w:b/>
        </w:rPr>
        <w:t xml:space="preserve"> </w:t>
      </w:r>
    </w:p>
    <w:p w:rsidR="00710C25" w:rsidRDefault="00401FE7" w:rsidP="00401FE7">
      <w:pPr>
        <w:spacing w:line="240" w:lineRule="auto"/>
        <w:rPr>
          <w:rFonts w:asciiTheme="minorHAnsi" w:hAnsiTheme="minorHAnsi"/>
        </w:rPr>
      </w:pPr>
      <w:r w:rsidRPr="00401FE7">
        <w:rPr>
          <w:rFonts w:asciiTheme="minorHAnsi" w:hAnsiTheme="minorHAnsi"/>
        </w:rPr>
        <w:t>LULUCF-sektorin ja metsämaan nettonielu EU-tasolla oli vuonna 2021</w:t>
      </w:r>
      <w:r>
        <w:rPr>
          <w:rFonts w:asciiTheme="minorHAnsi" w:hAnsiTheme="minorHAnsi"/>
        </w:rPr>
        <w:t xml:space="preserve"> koko 2000-luvun pienin</w:t>
      </w:r>
      <w:r w:rsidRPr="00401FE7">
        <w:rPr>
          <w:rFonts w:asciiTheme="minorHAnsi" w:hAnsiTheme="minorHAnsi"/>
        </w:rPr>
        <w:t>. Uusimpien projektioiden mukaan EU:n LULUCF-sektorin nettonielun odotetaan jatkavan laskuaan vuoteen 2023 saakka ja jäävän vuoden 2020 tason alapuolelle tulevien 20 vuoden aikana.</w:t>
      </w:r>
      <w:r>
        <w:rPr>
          <w:rFonts w:asciiTheme="minorHAnsi" w:hAnsiTheme="minorHAnsi"/>
        </w:rPr>
        <w:t xml:space="preserve"> H</w:t>
      </w:r>
      <w:r w:rsidRPr="00401FE7">
        <w:rPr>
          <w:rFonts w:asciiTheme="minorHAnsi" w:hAnsiTheme="minorHAnsi"/>
        </w:rPr>
        <w:t>yvin alustavien tulosten perusteella näyttää siltä, että jos jäsenmaiden päästöt ja poistumat pysyvät vuoden 2021 tasolla koko tarkastelujakson 2021–2025 aikana, nettonolla</w:t>
      </w:r>
      <w:r>
        <w:rPr>
          <w:rFonts w:asciiTheme="minorHAnsi" w:hAnsiTheme="minorHAnsi"/>
        </w:rPr>
        <w:t>-</w:t>
      </w:r>
      <w:r w:rsidRPr="00401FE7">
        <w:rPr>
          <w:rFonts w:asciiTheme="minorHAnsi" w:hAnsiTheme="minorHAnsi"/>
        </w:rPr>
        <w:t>sääntö ei välttämättä täyty EU-tasolla</w:t>
      </w:r>
      <w:r w:rsidR="00DF447C">
        <w:rPr>
          <w:rFonts w:asciiTheme="minorHAnsi" w:hAnsiTheme="minorHAnsi"/>
        </w:rPr>
        <w:t xml:space="preserve"> (kuva 2). Siinä tapauksessa jä</w:t>
      </w:r>
      <w:r w:rsidRPr="00401FE7">
        <w:rPr>
          <w:rFonts w:asciiTheme="minorHAnsi" w:hAnsiTheme="minorHAnsi"/>
        </w:rPr>
        <w:t xml:space="preserve">senmaiden metsäjousto ja Suomen erillisjousto </w:t>
      </w:r>
      <w:proofErr w:type="gramStart"/>
      <w:r w:rsidRPr="00401FE7">
        <w:rPr>
          <w:rFonts w:asciiTheme="minorHAnsi" w:hAnsiTheme="minorHAnsi"/>
        </w:rPr>
        <w:t>ei</w:t>
      </w:r>
      <w:proofErr w:type="gramEnd"/>
      <w:r w:rsidRPr="00401FE7">
        <w:rPr>
          <w:rFonts w:asciiTheme="minorHAnsi" w:hAnsiTheme="minorHAnsi"/>
        </w:rPr>
        <w:t xml:space="preserve"> myöskään olisi käytettävissä. On kuitenkin syytä huomioida, että arvio jäsenmaiden tilanteesta vuonna 2021 sisältää monia merkittäviä epävarmuustekijöitä.</w:t>
      </w:r>
      <w:r>
        <w:rPr>
          <w:rFonts w:asciiTheme="minorHAnsi" w:hAnsiTheme="minorHAnsi"/>
        </w:rPr>
        <w:t xml:space="preserve"> </w:t>
      </w:r>
    </w:p>
    <w:p w:rsidR="00710C25" w:rsidRDefault="00401FE7" w:rsidP="00401FE7">
      <w:pPr>
        <w:spacing w:line="240" w:lineRule="auto"/>
        <w:rPr>
          <w:rFonts w:asciiTheme="minorHAnsi" w:hAnsiTheme="minorHAnsi"/>
        </w:rPr>
      </w:pPr>
      <w:r w:rsidRPr="00401FE7">
        <w:rPr>
          <w:rFonts w:asciiTheme="minorHAnsi" w:hAnsiTheme="minorHAnsi"/>
        </w:rPr>
        <w:t xml:space="preserve">Jos jäsenmaiden päästöt ja poistumat pysyvät 2021 tasolla koko tarkastelujakson aikana, Saksalla olisi ylivoimaisesti eniten laskennallisia poistumia kaudella 2021–2025 (120 miljoonaa CO2-ekvivanttitonnia). Italialla olisi noin 50, Ruotsilla 30 ja Unkarilla 20 miljoonaa CO2-ekvivanttitonnia ylijäämää. Tanskalla ja Romanialla voisi kummallakin olla 10–20 miljoonaa CO2-ekvivanttitonnin ylijäämä, riippuen siitä, kuinka paljon ne siirtävät taakanjakosektorilleen. </w:t>
      </w:r>
    </w:p>
    <w:p w:rsidR="00401FE7" w:rsidRDefault="00401FE7" w:rsidP="00401FE7">
      <w:pPr>
        <w:spacing w:line="240" w:lineRule="auto"/>
        <w:rPr>
          <w:rFonts w:asciiTheme="minorHAnsi" w:hAnsiTheme="minorHAnsi"/>
        </w:rPr>
      </w:pPr>
      <w:r w:rsidRPr="00401FE7">
        <w:rPr>
          <w:rFonts w:asciiTheme="minorHAnsi" w:hAnsiTheme="minorHAnsi"/>
        </w:rPr>
        <w:t>Suomen lisäksi suurimmat haasteet nettonollapäästö-säännön täyttämisessä näyttää olevan Ranskalla (130–160 miljoonaa CO2-ekvivalenttitonnin vaje), Tšekillä (70 miljoonaa CO2-ekvivalenttitonnin vaje), Portugalilla (30 miljoonaa CO2-ekvivalenttitonnin vaje) ja Puolalla (20 miljoonaa CO2-ekvivalenttionnin vaje). Riippuen niiden tilanteensa taakanjakosektorilla, ne saattavat pystyä kompensoimaan osan alajämänsä siirtämällä yk</w:t>
      </w:r>
      <w:r w:rsidR="00DF447C">
        <w:rPr>
          <w:rFonts w:asciiTheme="minorHAnsi" w:hAnsiTheme="minorHAnsi"/>
        </w:rPr>
        <w:t>siköitä sieltä. Muiden jäsenmai</w:t>
      </w:r>
      <w:r w:rsidRPr="00401FE7">
        <w:rPr>
          <w:rFonts w:asciiTheme="minorHAnsi" w:hAnsiTheme="minorHAnsi"/>
        </w:rPr>
        <w:t>den tilanne kaudella 2021–2025 vaihtelee tämän tarkastelun mukaan noin 10 miljoonan CO2-ekvivalenttitonnin ylijäämän ja 10 CO2-ekvivalenttitonnin alijäämän välillä.</w:t>
      </w:r>
    </w:p>
    <w:p w:rsidR="00710C25" w:rsidRDefault="00710C25">
      <w:pPr>
        <w:spacing w:line="259" w:lineRule="auto"/>
        <w:rPr>
          <w:rStyle w:val="rphighlightallclass"/>
          <w:rFonts w:asciiTheme="minorHAnsi" w:hAnsiTheme="minorHAnsi"/>
          <w:b/>
        </w:rPr>
      </w:pPr>
      <w:r>
        <w:rPr>
          <w:rStyle w:val="rphighlightallclass"/>
          <w:rFonts w:asciiTheme="minorHAnsi" w:hAnsiTheme="minorHAnsi"/>
          <w:b/>
        </w:rPr>
        <w:br w:type="page"/>
      </w:r>
    </w:p>
    <w:p w:rsidR="00F91D83" w:rsidRPr="00401FE7" w:rsidRDefault="00F91D83" w:rsidP="00F91D83">
      <w:pPr>
        <w:spacing w:line="240" w:lineRule="auto"/>
        <w:rPr>
          <w:rStyle w:val="rphighlightallclass"/>
          <w:rFonts w:asciiTheme="minorHAnsi" w:hAnsiTheme="minorHAnsi"/>
          <w:b/>
        </w:rPr>
      </w:pPr>
      <w:r w:rsidRPr="00401FE7">
        <w:rPr>
          <w:rStyle w:val="rphighlightallclass"/>
          <w:rFonts w:asciiTheme="minorHAnsi" w:hAnsiTheme="minorHAnsi"/>
          <w:b/>
        </w:rPr>
        <w:lastRenderedPageBreak/>
        <w:t>Olennaiset artiklat:</w:t>
      </w:r>
    </w:p>
    <w:p w:rsidR="00F91D83" w:rsidRDefault="00F91D83" w:rsidP="00F91D83">
      <w:pPr>
        <w:pStyle w:val="Point1letter"/>
        <w:ind w:left="0" w:firstLine="0"/>
        <w:jc w:val="left"/>
        <w:rPr>
          <w:rStyle w:val="BoldItalic"/>
          <w:rFonts w:ascii="Calibri" w:hAnsi="Calibri" w:cs="Calibri"/>
          <w:b w:val="0"/>
          <w:bCs w:val="0"/>
          <w:i w:val="0"/>
          <w:iCs w:val="0"/>
          <w:sz w:val="22"/>
          <w:szCs w:val="22"/>
        </w:rPr>
      </w:pPr>
      <w:r>
        <w:rPr>
          <w:rStyle w:val="BoldItalic"/>
          <w:rFonts w:ascii="Calibri" w:hAnsi="Calibri" w:cs="Calibri"/>
          <w:i w:val="0"/>
          <w:iCs w:val="0"/>
          <w:sz w:val="22"/>
          <w:szCs w:val="22"/>
        </w:rPr>
        <w:t xml:space="preserve">LULUCF </w:t>
      </w:r>
      <w:r>
        <w:rPr>
          <w:rFonts w:ascii="Calibri" w:hAnsi="Calibri" w:cs="Calibri"/>
          <w:b/>
          <w:bCs/>
          <w:sz w:val="22"/>
          <w:szCs w:val="22"/>
        </w:rPr>
        <w:t>(EU) 2018/841</w:t>
      </w:r>
    </w:p>
    <w:p w:rsidR="00F91D83" w:rsidRDefault="00F91D83" w:rsidP="00F91D83">
      <w:pPr>
        <w:pStyle w:val="Point1letter"/>
        <w:ind w:left="851" w:firstLine="0"/>
        <w:jc w:val="left"/>
        <w:rPr>
          <w:rStyle w:val="BoldItalic"/>
          <w:b w:val="0"/>
          <w:bCs w:val="0"/>
          <w:i w:val="0"/>
          <w:iCs w:val="0"/>
        </w:rPr>
      </w:pPr>
      <w:r>
        <w:rPr>
          <w:rStyle w:val="BoldItalic"/>
          <w:b w:val="0"/>
          <w:bCs w:val="0"/>
          <w:i w:val="0"/>
          <w:iCs w:val="0"/>
        </w:rPr>
        <w:t>12 artikla</w:t>
      </w:r>
      <w:r>
        <w:rPr>
          <w:rStyle w:val="BoldItalic"/>
          <w:b w:val="0"/>
          <w:bCs w:val="0"/>
          <w:i w:val="0"/>
          <w:iCs w:val="0"/>
        </w:rPr>
        <w:br/>
        <w:t xml:space="preserve">Yleiset joustomahdollisuudet </w:t>
      </w:r>
    </w:p>
    <w:p w:rsidR="00F91D83" w:rsidRDefault="00F91D83" w:rsidP="00F91D83">
      <w:pPr>
        <w:pStyle w:val="Point1letter"/>
        <w:jc w:val="left"/>
        <w:rPr>
          <w:rStyle w:val="BoldItalic"/>
          <w:b w:val="0"/>
          <w:bCs w:val="0"/>
          <w:i w:val="0"/>
          <w:iCs w:val="0"/>
        </w:rPr>
      </w:pPr>
      <w:r>
        <w:rPr>
          <w:rStyle w:val="BoldItalic"/>
          <w:b w:val="0"/>
          <w:bCs w:val="0"/>
          <w:i w:val="0"/>
          <w:iCs w:val="0"/>
        </w:rPr>
        <w:t xml:space="preserve">1.       Jos kaudella 2021–2025 kokonaispäästöt ylittävät kokonaispoistumat jäsenvaltiossa tai kaudella 2026–2030 jäsenvaltion alueella syntyneiden kasvihuonekaasujen päästöjen ja poistumien summan ja kyseiselle jäsenvaltiolle tämän asetuksen 4 artiklan mukaisen velvoitteen, tavoitteen tai taseen välinen erotus on positiivinen ja kyseinen </w:t>
      </w:r>
      <w:r w:rsidRPr="00F91D83">
        <w:rPr>
          <w:rStyle w:val="BoldItalic"/>
          <w:b w:val="0"/>
          <w:bCs w:val="0"/>
          <w:i w:val="0"/>
          <w:iCs w:val="0"/>
          <w:highlight w:val="yellow"/>
        </w:rPr>
        <w:t>jäsenvaltio on päättänyt käyttää joustoa ja pyytänyt poistamaan vuosittaiset päästökiintiöt asetuksen (EU) 2018/842 nojalla, kyseinen poistettujen päästökiintiöiden määrä on otettava huomioon siinä, miten jäsenvaltio noudattaa tämän asetuksen 4 artiklan mukaista velvoitettaan, tavoitettaan tai tasettaan</w:t>
      </w:r>
      <w:r>
        <w:rPr>
          <w:rStyle w:val="BoldItalic"/>
          <w:b w:val="0"/>
          <w:bCs w:val="0"/>
          <w:i w:val="0"/>
          <w:iCs w:val="0"/>
        </w:rPr>
        <w:t>.</w:t>
      </w:r>
    </w:p>
    <w:p w:rsidR="00F91D83" w:rsidRDefault="00F91D83" w:rsidP="00F91D83">
      <w:pPr>
        <w:rPr>
          <w:rFonts w:ascii="Calibri" w:hAnsi="Calibri" w:cs="Calibri"/>
        </w:rPr>
      </w:pPr>
    </w:p>
    <w:p w:rsidR="00F91D83" w:rsidRPr="00F91D83" w:rsidRDefault="00F91D83" w:rsidP="00F91D83">
      <w:pPr>
        <w:rPr>
          <w:rFonts w:asciiTheme="minorHAnsi" w:hAnsiTheme="minorHAnsi"/>
          <w:b/>
          <w:bCs/>
        </w:rPr>
      </w:pPr>
      <w:r w:rsidRPr="00F91D83">
        <w:rPr>
          <w:rFonts w:asciiTheme="minorHAnsi" w:hAnsiTheme="minorHAnsi"/>
          <w:b/>
          <w:bCs/>
        </w:rPr>
        <w:t xml:space="preserve">ESR (EU) 2018/842 viittaus </w:t>
      </w:r>
      <w:proofErr w:type="spellStart"/>
      <w:proofErr w:type="gramStart"/>
      <w:r w:rsidRPr="00F91D83">
        <w:rPr>
          <w:rFonts w:asciiTheme="minorHAnsi" w:hAnsiTheme="minorHAnsi"/>
          <w:b/>
          <w:bCs/>
        </w:rPr>
        <w:t>LULUCF:ään</w:t>
      </w:r>
      <w:proofErr w:type="spellEnd"/>
      <w:proofErr w:type="gramEnd"/>
    </w:p>
    <w:p w:rsidR="00F91D83" w:rsidRDefault="00F91D83" w:rsidP="00F91D83">
      <w:pPr>
        <w:pStyle w:val="Point0number"/>
        <w:ind w:hanging="1"/>
        <w:jc w:val="left"/>
      </w:pPr>
      <w:r>
        <w:t>korvataan 9 artiklan 2 kohta seuraavasti:</w:t>
      </w:r>
    </w:p>
    <w:p w:rsidR="00F91D83" w:rsidRDefault="00F91D83" w:rsidP="00F91D83">
      <w:pPr>
        <w:pStyle w:val="Point1"/>
        <w:jc w:val="left"/>
      </w:pPr>
      <w:r>
        <w:t>”2.     Jos asetuksen (EU) 2018/841 4 artiklassa tarkoitetut jäsenvaltion kasvihuonekaasupäästöt ylittävät kaudella 2021–2025 sen poistumat, jotka on määritetty mainitun asetuksen 12 artiklan mukaisesti</w:t>
      </w:r>
      <w:r w:rsidRPr="00F91D83">
        <w:rPr>
          <w:highlight w:val="yellow"/>
        </w:rPr>
        <w:t>, keskusvalvoja vähentää kyseisen jäsenvaltion vuotuisista päästökiintiöistä asianomaisten vuosien osalta näitä ylimääräisiä kasvihuonekaasupäästöjä vastaavan määrän hiilidioksidiekvivalenttitonneina</w:t>
      </w:r>
      <w:r>
        <w:t>.”;</w:t>
      </w:r>
    </w:p>
    <w:p w:rsidR="00710C25" w:rsidRDefault="00710C25" w:rsidP="00F91D83">
      <w:pPr>
        <w:rPr>
          <w:rFonts w:asciiTheme="minorHAnsi" w:hAnsiTheme="minorHAnsi"/>
          <w:b/>
          <w:bCs/>
        </w:rPr>
      </w:pPr>
    </w:p>
    <w:p w:rsidR="00F91D83" w:rsidRPr="00F91D83" w:rsidRDefault="00F91D83" w:rsidP="00F91D83">
      <w:pPr>
        <w:rPr>
          <w:rFonts w:asciiTheme="minorHAnsi" w:hAnsiTheme="minorHAnsi"/>
          <w:b/>
          <w:bCs/>
          <w:color w:val="000000"/>
        </w:rPr>
      </w:pPr>
      <w:r w:rsidRPr="00F91D83">
        <w:rPr>
          <w:rFonts w:asciiTheme="minorHAnsi" w:hAnsiTheme="minorHAnsi"/>
          <w:b/>
          <w:bCs/>
        </w:rPr>
        <w:t>ESR-asetuksen päivityksessä säilyi voimassa 9 artiklan kohta 1</w:t>
      </w:r>
    </w:p>
    <w:p w:rsidR="00F91D83" w:rsidRPr="00F91D83" w:rsidRDefault="00F91D83" w:rsidP="00F91D83">
      <w:pPr>
        <w:pStyle w:val="CM4"/>
        <w:spacing w:before="60" w:after="60" w:line="360" w:lineRule="auto"/>
        <w:rPr>
          <w:rFonts w:ascii="Times New Roman" w:hAnsi="Times New Roman"/>
          <w:color w:val="000000"/>
          <w:sz w:val="22"/>
          <w:szCs w:val="22"/>
        </w:rPr>
      </w:pPr>
      <w:r w:rsidRPr="00F91D83">
        <w:rPr>
          <w:rFonts w:ascii="Times New Roman" w:hAnsi="Times New Roman"/>
          <w:color w:val="000000"/>
          <w:sz w:val="22"/>
          <w:szCs w:val="22"/>
        </w:rPr>
        <w:t xml:space="preserve">1. Jos jäsenvaltion tarkistetut kasvihuonekaasupäästöt ylittävät vuosina 2027 ja 2032 sen vuotuisen päästökiintiön minkä tahansa vuoden osalta kyseessä olevana kautena ottaen huomioon tämän artiklan 2 kohdan sekä 5, 6 ja 7 artiklan nojalla käytetyt joustomahdollisuudet, sovelletaan seuraavia toimenpiteitä: </w:t>
      </w:r>
    </w:p>
    <w:p w:rsidR="00F91D83" w:rsidRDefault="00F91D83" w:rsidP="00F91D83">
      <w:pPr>
        <w:spacing w:line="360" w:lineRule="auto"/>
        <w:rPr>
          <w:rFonts w:ascii="Times New Roman" w:hAnsi="Times New Roman" w:cs="Times New Roman"/>
          <w:color w:val="000000"/>
        </w:rPr>
      </w:pPr>
      <w:r w:rsidRPr="00F91D83">
        <w:rPr>
          <w:rFonts w:ascii="Times New Roman" w:hAnsi="Times New Roman" w:cs="Times New Roman"/>
          <w:color w:val="000000"/>
          <w:highlight w:val="yellow"/>
        </w:rPr>
        <w:t>a) jäsenvaltion seuraavan vuoden kasvihuonekaasujen päästölukuun lisätään näitä ylimääräisiä kasvihuonekaasupäästöjä vastaava määrä hiilidioksidiekvivalenttitonneina kerrottuna kertoimella 1,08</w:t>
      </w:r>
      <w:r w:rsidRPr="00F91D83">
        <w:rPr>
          <w:rFonts w:ascii="Times New Roman" w:hAnsi="Times New Roman" w:cs="Times New Roman"/>
          <w:color w:val="000000"/>
        </w:rPr>
        <w:t xml:space="preserve"> 12 artiklan nojalla hyväksyttyjen toimenpiteiden mukaisesti;</w:t>
      </w:r>
    </w:p>
    <w:p w:rsidR="00463922" w:rsidRPr="00F91D83" w:rsidRDefault="00463922" w:rsidP="00F91D83">
      <w:pPr>
        <w:spacing w:line="360" w:lineRule="auto"/>
        <w:rPr>
          <w:rFonts w:ascii="Times New Roman" w:hAnsi="Times New Roman" w:cs="Times New Roman"/>
        </w:rPr>
      </w:pPr>
    </w:p>
    <w:p w:rsidR="00463922" w:rsidRPr="00463922" w:rsidRDefault="00463922" w:rsidP="00463922">
      <w:pPr>
        <w:pStyle w:val="Point0number"/>
        <w:ind w:firstLine="0"/>
        <w:jc w:val="left"/>
      </w:pPr>
      <w:r w:rsidRPr="00463922">
        <w:t>korvataan 8 artikla seuraavasti:</w:t>
      </w:r>
    </w:p>
    <w:p w:rsidR="00463922" w:rsidRPr="00463922" w:rsidRDefault="00463922" w:rsidP="00463922">
      <w:pPr>
        <w:pStyle w:val="Titrearticle"/>
        <w:rPr>
          <w:i w:val="0"/>
        </w:rPr>
      </w:pPr>
      <w:r w:rsidRPr="00463922">
        <w:rPr>
          <w:i w:val="0"/>
        </w:rPr>
        <w:lastRenderedPageBreak/>
        <w:t>”8 artikla</w:t>
      </w:r>
    </w:p>
    <w:p w:rsidR="00463922" w:rsidRPr="00463922" w:rsidRDefault="00463922" w:rsidP="00463922">
      <w:pPr>
        <w:pStyle w:val="NormalCentered"/>
      </w:pPr>
      <w:r w:rsidRPr="00463922">
        <w:t>Korjaavat toimet</w:t>
      </w:r>
    </w:p>
    <w:p w:rsidR="00463922" w:rsidRPr="00463922" w:rsidRDefault="00463922" w:rsidP="00463922">
      <w:pPr>
        <w:pStyle w:val="Point1"/>
        <w:jc w:val="left"/>
      </w:pPr>
      <w:r w:rsidRPr="00463922">
        <w:t>1.</w:t>
      </w:r>
      <w:r w:rsidRPr="00463922">
        <w:tab/>
        <w:t>Jos komissio toteaa asetuksen (EU) 2018/1999 29 artiklan mukaisessa vuotuisessa arvioinnissaan ja ottaen huomioon tämän asetuksen 5, 6 ja 7 artiklassa tarkoitettujen joustomahdollisuuksien aiotun käytön, että jäsenvaltion edistyminen tämän asetuksen 4 artiklan mukaisten velvoitteidensa täyttämisessä ei ole ollut riittävää, kyseisen jäsenvaltion on kolmen kuukauden kuluessa toimitettava komissiolle korjaava toimintasuunnitelma, joka sisältää</w:t>
      </w:r>
      <w:r>
        <w:t>…</w:t>
      </w:r>
    </w:p>
    <w:p w:rsidR="009851B6" w:rsidRDefault="009814A5"/>
    <w:sectPr w:rsidR="009851B6">
      <w:head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4A5" w:rsidRDefault="009814A5" w:rsidP="00D60CDF">
      <w:pPr>
        <w:spacing w:after="0" w:line="240" w:lineRule="auto"/>
      </w:pPr>
      <w:r>
        <w:separator/>
      </w:r>
    </w:p>
  </w:endnote>
  <w:endnote w:type="continuationSeparator" w:id="0">
    <w:p w:rsidR="009814A5" w:rsidRDefault="009814A5" w:rsidP="00D60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EUAlbertin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4A5" w:rsidRDefault="009814A5" w:rsidP="00D60CDF">
      <w:pPr>
        <w:spacing w:after="0" w:line="240" w:lineRule="auto"/>
      </w:pPr>
      <w:r>
        <w:separator/>
      </w:r>
    </w:p>
  </w:footnote>
  <w:footnote w:type="continuationSeparator" w:id="0">
    <w:p w:rsidR="009814A5" w:rsidRDefault="009814A5" w:rsidP="00D60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CDF" w:rsidRPr="00D60CDF" w:rsidRDefault="00D60CDF" w:rsidP="00D60CDF">
    <w:pPr>
      <w:autoSpaceDE w:val="0"/>
      <w:autoSpaceDN w:val="0"/>
      <w:spacing w:after="0" w:line="240" w:lineRule="auto"/>
      <w:rPr>
        <w:rFonts w:eastAsia="Times New Roman"/>
        <w:sz w:val="16"/>
        <w:szCs w:val="20"/>
        <w:lang w:eastAsia="fi-FI"/>
      </w:rPr>
    </w:pPr>
    <w:r w:rsidRPr="00D60CDF">
      <w:rPr>
        <w:rFonts w:eastAsia="Times New Roman"/>
        <w:sz w:val="16"/>
        <w:szCs w:val="20"/>
        <w:lang w:eastAsia="fi-FI"/>
      </w:rPr>
      <w:t>Lisätietojen antajat:</w:t>
    </w:r>
    <w:r w:rsidRPr="00D60CDF">
      <w:rPr>
        <w:rFonts w:eastAsia="Times New Roman"/>
        <w:sz w:val="16"/>
        <w:szCs w:val="20"/>
        <w:lang w:eastAsia="fi-FI"/>
      </w:rPr>
      <w:tab/>
      <w:t>Ylijohtaja Leena Ylä-Mononen; </w:t>
    </w:r>
    <w:hyperlink r:id="rId1" w:history="1">
      <w:r w:rsidRPr="00D60CDF">
        <w:rPr>
          <w:rFonts w:eastAsia="Times New Roman"/>
          <w:sz w:val="16"/>
          <w:szCs w:val="20"/>
          <w:u w:val="single"/>
          <w:lang w:eastAsia="fi-FI"/>
        </w:rPr>
        <w:t>leena.yla-mononen@gov.fi</w:t>
      </w:r>
    </w:hyperlink>
    <w:r w:rsidRPr="00D60CDF">
      <w:rPr>
        <w:rFonts w:eastAsia="Times New Roman"/>
        <w:sz w:val="16"/>
        <w:szCs w:val="20"/>
        <w:lang w:eastAsia="fi-FI"/>
      </w:rPr>
      <w:t> ; +358504761516</w:t>
    </w:r>
  </w:p>
  <w:p w:rsidR="00D60CDF" w:rsidRPr="00D60CDF" w:rsidRDefault="00D60CDF" w:rsidP="00D60CDF">
    <w:pPr>
      <w:pStyle w:val="Yltunniste"/>
      <w:rPr>
        <w:sz w:val="18"/>
      </w:rPr>
    </w:pPr>
    <w:r>
      <w:rPr>
        <w:rFonts w:eastAsia="Times New Roman"/>
        <w:sz w:val="16"/>
        <w:szCs w:val="20"/>
        <w:lang w:eastAsia="fi-FI"/>
      </w:rPr>
      <w:tab/>
      <w:t xml:space="preserve">                 </w:t>
    </w:r>
    <w:r w:rsidRPr="00D60CDF">
      <w:rPr>
        <w:rFonts w:eastAsia="Times New Roman"/>
        <w:sz w:val="16"/>
        <w:szCs w:val="20"/>
        <w:lang w:eastAsia="fi-FI"/>
      </w:rPr>
      <w:t>Kehittämisjohtaja Juho Korpi; </w:t>
    </w:r>
    <w:hyperlink r:id="rId2" w:history="1">
      <w:r w:rsidRPr="00D60CDF">
        <w:rPr>
          <w:rFonts w:eastAsia="Times New Roman"/>
          <w:sz w:val="16"/>
          <w:szCs w:val="20"/>
          <w:u w:val="single"/>
          <w:lang w:eastAsia="fi-FI"/>
        </w:rPr>
        <w:t>juho.korpi@gov.fi</w:t>
      </w:r>
    </w:hyperlink>
    <w:r w:rsidRPr="00D60CDF">
      <w:rPr>
        <w:rFonts w:eastAsia="Times New Roman"/>
        <w:sz w:val="16"/>
        <w:szCs w:val="20"/>
        <w:lang w:eastAsia="fi-FI"/>
      </w:rPr>
      <w:t>; +358504343348</w:t>
    </w:r>
  </w:p>
  <w:p w:rsidR="00D60CDF" w:rsidRPr="00D60CDF" w:rsidRDefault="00D60CDF">
    <w:pPr>
      <w:pStyle w:val="Yltunniste"/>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AED654"/>
    <w:lvl w:ilvl="0">
      <w:numFmt w:val="bullet"/>
      <w:lvlText w:val="*"/>
      <w:lvlJc w:val="left"/>
    </w:lvl>
  </w:abstractNum>
  <w:num w:numId="1">
    <w:abstractNumId w:val="0"/>
    <w:lvlOverride w:ilvl="0">
      <w:lvl w:ilvl="0">
        <w:numFmt w:val="bullet"/>
        <w:lvlText w:val="•"/>
        <w:legacy w:legacy="1" w:legacySpace="0" w:legacyIndent="0"/>
        <w:lvlJc w:val="left"/>
        <w:rPr>
          <w:rFonts w:ascii="Arial" w:hAnsi="Arial" w:cs="Arial" w:hint="default"/>
          <w:sz w:val="52"/>
        </w:rPr>
      </w:lvl>
    </w:lvlOverride>
  </w:num>
  <w:num w:numId="2">
    <w:abstractNumId w:val="0"/>
    <w:lvlOverride w:ilvl="0">
      <w:lvl w:ilvl="0">
        <w:numFmt w:val="bullet"/>
        <w:lvlText w:val="•"/>
        <w:legacy w:legacy="1" w:legacySpace="0" w:legacyIndent="0"/>
        <w:lvlJc w:val="left"/>
        <w:rPr>
          <w:rFonts w:ascii="Arial" w:hAnsi="Arial" w:cs="Arial" w:hint="default"/>
          <w:sz w:val="4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D83"/>
    <w:rsid w:val="00267A28"/>
    <w:rsid w:val="00401FE7"/>
    <w:rsid w:val="00463922"/>
    <w:rsid w:val="004F2B80"/>
    <w:rsid w:val="005149B0"/>
    <w:rsid w:val="005A1D82"/>
    <w:rsid w:val="00690ED8"/>
    <w:rsid w:val="00710C25"/>
    <w:rsid w:val="009814A5"/>
    <w:rsid w:val="00C41760"/>
    <w:rsid w:val="00C71C11"/>
    <w:rsid w:val="00D60CDF"/>
    <w:rsid w:val="00DA5FBA"/>
    <w:rsid w:val="00DF447C"/>
    <w:rsid w:val="00F91D83"/>
    <w:rsid w:val="00F942A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20AE7"/>
  <w15:chartTrackingRefBased/>
  <w15:docId w15:val="{7108B512-0204-457B-9B47-343F0FAAB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aliases w:val="Normaalin tekstin oletus"/>
    <w:qFormat/>
    <w:rsid w:val="00F91D83"/>
    <w:pPr>
      <w:spacing w:line="288" w:lineRule="auto"/>
    </w:pPr>
    <w:rPr>
      <w:rFonts w:ascii="Verdana" w:hAnsi="Verdana" w:cstheme="minorHAnsi"/>
    </w:rPr>
  </w:style>
  <w:style w:type="paragraph" w:styleId="Otsikko1">
    <w:name w:val="heading 1"/>
    <w:basedOn w:val="Normaali"/>
    <w:next w:val="Normaali"/>
    <w:link w:val="Otsikko1Char"/>
    <w:uiPriority w:val="9"/>
    <w:qFormat/>
    <w:rsid w:val="004F2B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4F2B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rphighlightallclass">
    <w:name w:val="rphighlightallclass"/>
    <w:basedOn w:val="Kappaleenoletusfontti"/>
    <w:rsid w:val="00F91D83"/>
  </w:style>
  <w:style w:type="paragraph" w:customStyle="1" w:styleId="Point1letter">
    <w:name w:val="Point 1 (letter)"/>
    <w:basedOn w:val="Normaali"/>
    <w:rsid w:val="00F91D83"/>
    <w:pPr>
      <w:spacing w:before="120" w:after="120" w:line="360" w:lineRule="auto"/>
      <w:ind w:left="1418" w:hanging="567"/>
      <w:jc w:val="both"/>
    </w:pPr>
    <w:rPr>
      <w:rFonts w:ascii="Times New Roman" w:hAnsi="Times New Roman" w:cs="Times New Roman"/>
      <w:sz w:val="24"/>
      <w:szCs w:val="24"/>
    </w:rPr>
  </w:style>
  <w:style w:type="paragraph" w:customStyle="1" w:styleId="Point1">
    <w:name w:val="Point 1"/>
    <w:basedOn w:val="Normaali"/>
    <w:uiPriority w:val="99"/>
    <w:rsid w:val="00F91D83"/>
    <w:pPr>
      <w:spacing w:before="120" w:after="120" w:line="360" w:lineRule="auto"/>
      <w:ind w:left="1417" w:hanging="567"/>
      <w:jc w:val="both"/>
    </w:pPr>
    <w:rPr>
      <w:rFonts w:ascii="Times New Roman" w:hAnsi="Times New Roman" w:cs="Times New Roman"/>
      <w:sz w:val="24"/>
      <w:szCs w:val="24"/>
    </w:rPr>
  </w:style>
  <w:style w:type="paragraph" w:customStyle="1" w:styleId="Point0number">
    <w:name w:val="Point 0 (number)"/>
    <w:basedOn w:val="Normaali"/>
    <w:uiPriority w:val="99"/>
    <w:qFormat/>
    <w:rsid w:val="00F91D83"/>
    <w:pPr>
      <w:spacing w:before="120" w:after="120" w:line="360" w:lineRule="auto"/>
      <w:ind w:left="851" w:hanging="851"/>
      <w:jc w:val="both"/>
    </w:pPr>
    <w:rPr>
      <w:rFonts w:ascii="Times New Roman" w:hAnsi="Times New Roman" w:cs="Times New Roman"/>
      <w:sz w:val="24"/>
      <w:szCs w:val="24"/>
    </w:rPr>
  </w:style>
  <w:style w:type="paragraph" w:customStyle="1" w:styleId="CM4">
    <w:name w:val="CM4"/>
    <w:basedOn w:val="Normaali"/>
    <w:uiPriority w:val="99"/>
    <w:rsid w:val="00F91D83"/>
    <w:pPr>
      <w:autoSpaceDE w:val="0"/>
      <w:autoSpaceDN w:val="0"/>
      <w:spacing w:after="0" w:line="240" w:lineRule="auto"/>
    </w:pPr>
    <w:rPr>
      <w:rFonts w:ascii="EUAlbertina" w:hAnsi="EUAlbertina" w:cs="Times New Roman"/>
      <w:sz w:val="24"/>
      <w:szCs w:val="24"/>
    </w:rPr>
  </w:style>
  <w:style w:type="character" w:customStyle="1" w:styleId="BoldItalic">
    <w:name w:val="BoldItalic"/>
    <w:basedOn w:val="Kappaleenoletusfontti"/>
    <w:uiPriority w:val="1"/>
    <w:rsid w:val="00F91D83"/>
    <w:rPr>
      <w:rFonts w:ascii="Times New Roman" w:hAnsi="Times New Roman" w:cs="Times New Roman" w:hint="default"/>
      <w:b/>
      <w:bCs/>
      <w:i/>
      <w:iCs/>
    </w:rPr>
  </w:style>
  <w:style w:type="paragraph" w:customStyle="1" w:styleId="NormalCentered">
    <w:name w:val="Normal Centered"/>
    <w:basedOn w:val="Normaali"/>
    <w:uiPriority w:val="99"/>
    <w:rsid w:val="00463922"/>
    <w:pPr>
      <w:spacing w:before="200" w:after="120" w:line="360" w:lineRule="auto"/>
      <w:jc w:val="center"/>
    </w:pPr>
    <w:rPr>
      <w:rFonts w:ascii="Times New Roman" w:hAnsi="Times New Roman" w:cs="Times New Roman"/>
      <w:sz w:val="24"/>
    </w:rPr>
  </w:style>
  <w:style w:type="paragraph" w:customStyle="1" w:styleId="Titrearticle">
    <w:name w:val="Titre article"/>
    <w:basedOn w:val="Normaali"/>
    <w:next w:val="Normaali"/>
    <w:uiPriority w:val="99"/>
    <w:rsid w:val="00463922"/>
    <w:pPr>
      <w:keepNext/>
      <w:spacing w:before="360" w:after="120" w:line="240" w:lineRule="auto"/>
      <w:jc w:val="center"/>
    </w:pPr>
    <w:rPr>
      <w:rFonts w:ascii="Times New Roman" w:hAnsi="Times New Roman" w:cs="Times New Roman"/>
      <w:i/>
      <w:sz w:val="24"/>
    </w:rPr>
  </w:style>
  <w:style w:type="character" w:customStyle="1" w:styleId="Otsikko1Char">
    <w:name w:val="Otsikko 1 Char"/>
    <w:basedOn w:val="Kappaleenoletusfontti"/>
    <w:link w:val="Otsikko1"/>
    <w:uiPriority w:val="9"/>
    <w:rsid w:val="004F2B80"/>
    <w:rPr>
      <w:rFonts w:asciiTheme="majorHAnsi" w:eastAsiaTheme="majorEastAsia" w:hAnsiTheme="majorHAnsi" w:cstheme="majorBidi"/>
      <w:color w:val="2E74B5" w:themeColor="accent1" w:themeShade="BF"/>
      <w:sz w:val="32"/>
      <w:szCs w:val="32"/>
    </w:rPr>
  </w:style>
  <w:style w:type="character" w:customStyle="1" w:styleId="Otsikko2Char">
    <w:name w:val="Otsikko 2 Char"/>
    <w:basedOn w:val="Kappaleenoletusfontti"/>
    <w:link w:val="Otsikko2"/>
    <w:uiPriority w:val="9"/>
    <w:rsid w:val="004F2B80"/>
    <w:rPr>
      <w:rFonts w:asciiTheme="majorHAnsi" w:eastAsiaTheme="majorEastAsia" w:hAnsiTheme="majorHAnsi" w:cstheme="majorBidi"/>
      <w:color w:val="2E74B5" w:themeColor="accent1" w:themeShade="BF"/>
      <w:sz w:val="26"/>
      <w:szCs w:val="26"/>
    </w:rPr>
  </w:style>
  <w:style w:type="paragraph" w:styleId="Yltunniste">
    <w:name w:val="header"/>
    <w:basedOn w:val="Normaali"/>
    <w:link w:val="YltunnisteChar"/>
    <w:uiPriority w:val="99"/>
    <w:unhideWhenUsed/>
    <w:rsid w:val="00D60CDF"/>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60CDF"/>
    <w:rPr>
      <w:rFonts w:ascii="Verdana" w:hAnsi="Verdana" w:cstheme="minorHAnsi"/>
    </w:rPr>
  </w:style>
  <w:style w:type="paragraph" w:styleId="Alatunniste">
    <w:name w:val="footer"/>
    <w:basedOn w:val="Normaali"/>
    <w:link w:val="AlatunnisteChar"/>
    <w:uiPriority w:val="99"/>
    <w:unhideWhenUsed/>
    <w:rsid w:val="00D60CDF"/>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60CDF"/>
    <w:rPr>
      <w:rFonts w:ascii="Verdana" w:hAnsi="Verdana"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44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juho.korpi@gov.fi" TargetMode="External"/><Relationship Id="rId1" Type="http://schemas.openxmlformats.org/officeDocument/2006/relationships/hyperlink" Target="mailto:leena.yla-mononen@gov.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848</Words>
  <Characters>6877</Characters>
  <Application>Microsoft Office Word</Application>
  <DocSecurity>0</DocSecurity>
  <Lines>57</Lines>
  <Paragraphs>15</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Kalliokoski Tuomo (YM)</dc:creator>
  <cp:keywords/>
  <dc:description/>
  <cp:lastModifiedBy>Korpi Juho (YM)</cp:lastModifiedBy>
  <cp:revision>5</cp:revision>
  <dcterms:created xsi:type="dcterms:W3CDTF">2023-04-27T11:47:00Z</dcterms:created>
  <dcterms:modified xsi:type="dcterms:W3CDTF">2023-05-02T17:25:00Z</dcterms:modified>
</cp:coreProperties>
</file>